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4DDFF" w14:textId="6E82E3BC" w:rsidR="00244A3B" w:rsidRPr="00192227" w:rsidRDefault="00AB70C8" w:rsidP="00192227">
      <w:pPr>
        <w:pStyle w:val="Title"/>
        <w:jc w:val="center"/>
        <w:rPr>
          <w:rFonts w:ascii="Baskerville Old Face" w:hAnsi="Baskerville Old Face"/>
          <w:b/>
          <w:color w:val="4F7AB5" w:themeColor="accent4"/>
          <w:sz w:val="32"/>
          <w:szCs w:val="32"/>
        </w:rPr>
      </w:pPr>
      <w:r>
        <w:rPr>
          <w:rFonts w:ascii="Baskerville Old Face" w:hAnsi="Baskerville Old Face"/>
          <w:b/>
          <w:color w:val="4F7AB5" w:themeColor="accent4"/>
          <w:sz w:val="32"/>
          <w:szCs w:val="32"/>
        </w:rPr>
        <w:t>2019</w:t>
      </w:r>
      <w:r w:rsidR="00244A3B" w:rsidRPr="00192227">
        <w:rPr>
          <w:rFonts w:ascii="Baskerville Old Face" w:hAnsi="Baskerville Old Face"/>
          <w:b/>
          <w:color w:val="4F7AB5" w:themeColor="accent4"/>
          <w:sz w:val="32"/>
          <w:szCs w:val="32"/>
        </w:rPr>
        <w:t xml:space="preserve"> Agricultural Education Engagement </w:t>
      </w:r>
      <w:r w:rsidR="00F9676E" w:rsidRPr="00192227">
        <w:rPr>
          <w:rFonts w:ascii="Baskerville Old Face" w:hAnsi="Baskerville Old Face"/>
          <w:b/>
          <w:color w:val="4F7AB5" w:themeColor="accent4"/>
          <w:sz w:val="32"/>
          <w:szCs w:val="32"/>
        </w:rPr>
        <w:t xml:space="preserve">Executive Summary Report </w:t>
      </w:r>
    </w:p>
    <w:p w14:paraId="11808180" w14:textId="77777777" w:rsidR="006575B2" w:rsidRPr="00192227" w:rsidRDefault="006575B2" w:rsidP="00192227"/>
    <w:sdt>
      <w:sdtPr>
        <w:rPr>
          <w:rFonts w:ascii="Baskerville Old Face" w:hAnsi="Baskerville Old Face"/>
          <w:sz w:val="24"/>
          <w:szCs w:val="24"/>
        </w:rPr>
        <w:id w:val="9459735"/>
        <w:placeholder>
          <w:docPart w:val="8C5EAF3650144E43924FE4D7101FBFCF"/>
        </w:placeholder>
      </w:sdtPr>
      <w:sdtContent>
        <w:p w14:paraId="50386A60" w14:textId="0615E1D9" w:rsidR="009E33F7" w:rsidRPr="00192227" w:rsidRDefault="00912708" w:rsidP="00192227">
          <w:pPr>
            <w:pStyle w:val="ListBullet"/>
            <w:numPr>
              <w:ilvl w:val="0"/>
              <w:numId w:val="0"/>
            </w:numPr>
            <w:rPr>
              <w:rFonts w:ascii="Baskerville Old Face" w:hAnsi="Baskerville Old Face"/>
              <w:sz w:val="24"/>
              <w:szCs w:val="24"/>
            </w:rPr>
          </w:pPr>
          <w:r w:rsidRPr="00192227">
            <w:rPr>
              <w:rFonts w:ascii="Baskerville Old Face" w:hAnsi="Baskerville Old Face"/>
              <w:sz w:val="24"/>
              <w:szCs w:val="24"/>
            </w:rPr>
            <w:t xml:space="preserve">In </w:t>
          </w:r>
          <w:r w:rsidR="00AB70C8">
            <w:rPr>
              <w:rFonts w:ascii="Baskerville Old Face" w:hAnsi="Baskerville Old Face"/>
              <w:sz w:val="24"/>
              <w:szCs w:val="24"/>
            </w:rPr>
            <w:t>2019</w:t>
          </w:r>
          <w:r w:rsidR="0048740A" w:rsidRPr="00192227">
            <w:rPr>
              <w:rFonts w:ascii="Baskerville Old Face" w:hAnsi="Baskerville Old Face"/>
              <w:sz w:val="24"/>
              <w:szCs w:val="24"/>
            </w:rPr>
            <w:t xml:space="preserve">, </w:t>
          </w:r>
          <w:r w:rsidR="00B34E47">
            <w:rPr>
              <w:rFonts w:ascii="Baskerville Old Face" w:hAnsi="Baskerville Old Face"/>
              <w:sz w:val="24"/>
              <w:szCs w:val="24"/>
            </w:rPr>
            <w:t>9</w:t>
          </w:r>
          <w:r w:rsidR="0048740A" w:rsidRPr="00192227">
            <w:rPr>
              <w:rFonts w:ascii="Baskerville Old Face" w:hAnsi="Baskerville Old Face"/>
              <w:sz w:val="24"/>
              <w:szCs w:val="24"/>
            </w:rPr>
            <w:t>,</w:t>
          </w:r>
          <w:r w:rsidR="00B34E47">
            <w:rPr>
              <w:rFonts w:ascii="Baskerville Old Face" w:hAnsi="Baskerville Old Face"/>
              <w:sz w:val="24"/>
              <w:szCs w:val="24"/>
            </w:rPr>
            <w:t>822</w:t>
          </w:r>
          <w:r w:rsidR="0048740A" w:rsidRPr="00192227">
            <w:rPr>
              <w:rFonts w:ascii="Baskerville Old Face" w:hAnsi="Baskerville Old Face"/>
              <w:sz w:val="24"/>
              <w:szCs w:val="24"/>
            </w:rPr>
            <w:t xml:space="preserve"> programs comprising</w:t>
          </w:r>
          <w:r w:rsidR="006C29EF" w:rsidRPr="00192227">
            <w:rPr>
              <w:rFonts w:ascii="Baskerville Old Face" w:hAnsi="Baskerville Old Face"/>
              <w:sz w:val="24"/>
              <w:szCs w:val="24"/>
            </w:rPr>
            <w:t xml:space="preserve"> </w:t>
          </w:r>
          <w:r w:rsidR="00B34E47">
            <w:rPr>
              <w:rFonts w:ascii="Baskerville Old Face" w:hAnsi="Baskerville Old Face"/>
              <w:sz w:val="24"/>
              <w:szCs w:val="24"/>
            </w:rPr>
            <w:t>47</w:t>
          </w:r>
          <w:r w:rsidR="0048740A" w:rsidRPr="00192227">
            <w:rPr>
              <w:rFonts w:ascii="Baskerville Old Face" w:hAnsi="Baskerville Old Face"/>
              <w:sz w:val="24"/>
              <w:szCs w:val="24"/>
            </w:rPr>
            <w:t xml:space="preserve"> states used the AET to track students’ experiences in agricultural education, </w:t>
          </w:r>
          <w:r w:rsidR="001C5FD4">
            <w:rPr>
              <w:rFonts w:ascii="Baskerville Old Face" w:hAnsi="Baskerville Old Face"/>
              <w:sz w:val="24"/>
              <w:szCs w:val="24"/>
            </w:rPr>
            <w:t xml:space="preserve">which is an increase from previous years.  To develop a consistent and representative sample, this analysis created a cohort group of programs that utilized AET in the past three years.  This resulted in </w:t>
          </w:r>
          <w:r w:rsidR="0048740A" w:rsidRPr="00192227">
            <w:rPr>
              <w:rFonts w:ascii="Baskerville Old Face" w:hAnsi="Baskerville Old Face"/>
              <w:sz w:val="24"/>
              <w:szCs w:val="24"/>
            </w:rPr>
            <w:t>4,</w:t>
          </w:r>
          <w:r w:rsidR="001C5FD4">
            <w:rPr>
              <w:rFonts w:ascii="Baskerville Old Face" w:hAnsi="Baskerville Old Face"/>
              <w:sz w:val="24"/>
              <w:szCs w:val="24"/>
            </w:rPr>
            <w:t>423</w:t>
          </w:r>
          <w:r w:rsidR="0048740A" w:rsidRPr="00192227">
            <w:rPr>
              <w:rFonts w:ascii="Baskerville Old Face" w:hAnsi="Baskerville Old Face"/>
              <w:sz w:val="24"/>
              <w:szCs w:val="24"/>
            </w:rPr>
            <w:t xml:space="preserve"> </w:t>
          </w:r>
          <w:r w:rsidR="00017E65" w:rsidRPr="00192227">
            <w:rPr>
              <w:rFonts w:ascii="Baskerville Old Face" w:hAnsi="Baskerville Old Face"/>
              <w:sz w:val="24"/>
              <w:szCs w:val="24"/>
            </w:rPr>
            <w:t>programs illustrat</w:t>
          </w:r>
          <w:r w:rsidR="001C5FD4">
            <w:rPr>
              <w:rFonts w:ascii="Baskerville Old Face" w:hAnsi="Baskerville Old Face"/>
              <w:sz w:val="24"/>
              <w:szCs w:val="24"/>
            </w:rPr>
            <w:t>ing</w:t>
          </w:r>
          <w:r w:rsidR="00017E65" w:rsidRPr="00192227">
            <w:rPr>
              <w:rFonts w:ascii="Baskerville Old Face" w:hAnsi="Baskerville Old Face"/>
              <w:sz w:val="24"/>
              <w:szCs w:val="24"/>
            </w:rPr>
            <w:t xml:space="preserve"> </w:t>
          </w:r>
          <w:r w:rsidR="006F005D" w:rsidRPr="00192227">
            <w:rPr>
              <w:rFonts w:ascii="Baskerville Old Face" w:hAnsi="Baskerville Old Face"/>
              <w:sz w:val="24"/>
              <w:szCs w:val="24"/>
            </w:rPr>
            <w:t xml:space="preserve">consistent </w:t>
          </w:r>
          <w:r w:rsidR="002D2F07" w:rsidRPr="00192227">
            <w:rPr>
              <w:rFonts w:ascii="Baskerville Old Face" w:hAnsi="Baskerville Old Face"/>
              <w:sz w:val="24"/>
              <w:szCs w:val="24"/>
            </w:rPr>
            <w:t xml:space="preserve">use </w:t>
          </w:r>
          <w:r w:rsidR="00B34E47">
            <w:rPr>
              <w:rFonts w:ascii="Baskerville Old Face" w:hAnsi="Baskerville Old Face"/>
              <w:color w:val="000000" w:themeColor="text1"/>
              <w:sz w:val="24"/>
              <w:szCs w:val="24"/>
            </w:rPr>
            <w:t xml:space="preserve">in </w:t>
          </w:r>
          <w:r w:rsidR="002D2F07" w:rsidRPr="00192227">
            <w:rPr>
              <w:rFonts w:ascii="Baskerville Old Face" w:hAnsi="Baskerville Old Face"/>
              <w:sz w:val="24"/>
              <w:szCs w:val="24"/>
            </w:rPr>
            <w:t>s</w:t>
          </w:r>
          <w:r w:rsidR="002D2F07" w:rsidRPr="00192227">
            <w:rPr>
              <w:rFonts w:ascii="Baskerville Old Face" w:hAnsi="Baskerville Old Face"/>
              <w:color w:val="000000" w:themeColor="text1"/>
              <w:sz w:val="24"/>
              <w:szCs w:val="24"/>
            </w:rPr>
            <w:t>tudent logi</w:t>
          </w:r>
          <w:r w:rsidR="006C29EF" w:rsidRPr="00192227">
            <w:rPr>
              <w:rFonts w:ascii="Baskerville Old Face" w:hAnsi="Baskerville Old Face"/>
              <w:color w:val="000000" w:themeColor="text1"/>
              <w:sz w:val="24"/>
              <w:szCs w:val="24"/>
            </w:rPr>
            <w:t xml:space="preserve">ns, </w:t>
          </w:r>
          <w:r w:rsidR="00F25BDA" w:rsidRPr="00192227">
            <w:rPr>
              <w:rFonts w:ascii="Baskerville Old Face" w:hAnsi="Baskerville Old Face"/>
              <w:color w:val="000000" w:themeColor="text1"/>
              <w:sz w:val="24"/>
              <w:szCs w:val="24"/>
            </w:rPr>
            <w:t>and</w:t>
          </w:r>
          <w:r w:rsidR="002D2F07" w:rsidRPr="00192227">
            <w:rPr>
              <w:rFonts w:ascii="Baskerville Old Face" w:hAnsi="Baskerville Old Face"/>
              <w:color w:val="000000" w:themeColor="text1"/>
              <w:sz w:val="24"/>
              <w:szCs w:val="24"/>
            </w:rPr>
            <w:t xml:space="preserve"> SAE and FFA </w:t>
          </w:r>
          <w:r w:rsidR="00F25BDA" w:rsidRPr="00192227">
            <w:rPr>
              <w:rFonts w:ascii="Baskerville Old Face" w:hAnsi="Baskerville Old Face"/>
              <w:color w:val="000000" w:themeColor="text1"/>
              <w:sz w:val="24"/>
              <w:szCs w:val="24"/>
            </w:rPr>
            <w:t xml:space="preserve">recordkeeping </w:t>
          </w:r>
          <w:r w:rsidR="001C5FD4">
            <w:rPr>
              <w:rFonts w:ascii="Baskerville Old Face" w:hAnsi="Baskerville Old Face"/>
              <w:color w:val="000000" w:themeColor="text1"/>
              <w:sz w:val="24"/>
              <w:szCs w:val="24"/>
            </w:rPr>
            <w:t xml:space="preserve">and serves as a representative sample </w:t>
          </w:r>
          <w:r w:rsidR="006575B2" w:rsidRPr="00192227">
            <w:rPr>
              <w:rFonts w:ascii="Baskerville Old Face" w:hAnsi="Baskerville Old Face"/>
              <w:color w:val="000000" w:themeColor="text1"/>
              <w:sz w:val="24"/>
              <w:szCs w:val="24"/>
            </w:rPr>
            <w:t xml:space="preserve">of </w:t>
          </w:r>
          <w:r w:rsidR="001C5FD4">
            <w:rPr>
              <w:rFonts w:ascii="Baskerville Old Face" w:hAnsi="Baskerville Old Face"/>
              <w:color w:val="000000" w:themeColor="text1"/>
              <w:sz w:val="24"/>
              <w:szCs w:val="24"/>
            </w:rPr>
            <w:t xml:space="preserve">agricultural education </w:t>
          </w:r>
          <w:r w:rsidR="006575B2" w:rsidRPr="00192227">
            <w:rPr>
              <w:rFonts w:ascii="Baskerville Old Face" w:hAnsi="Baskerville Old Face"/>
              <w:color w:val="000000" w:themeColor="text1"/>
              <w:sz w:val="24"/>
              <w:szCs w:val="24"/>
            </w:rPr>
            <w:t>programs</w:t>
          </w:r>
          <w:r w:rsidR="002D2F07" w:rsidRPr="00192227">
            <w:rPr>
              <w:rFonts w:ascii="Baskerville Old Face" w:hAnsi="Baskerville Old Face"/>
              <w:color w:val="000000" w:themeColor="text1"/>
              <w:sz w:val="24"/>
              <w:szCs w:val="24"/>
            </w:rPr>
            <w:t xml:space="preserve">.  </w:t>
          </w:r>
          <w:r w:rsidR="007B7F07">
            <w:rPr>
              <w:rFonts w:ascii="Baskerville Old Face" w:hAnsi="Baskerville Old Face"/>
              <w:color w:val="000000" w:themeColor="text1"/>
              <w:sz w:val="24"/>
              <w:szCs w:val="24"/>
            </w:rPr>
            <w:t xml:space="preserve">In terms of states that represent the largest portion of this sample, many of the states are also the largest listing of FFA programs. Some of the top samples and their percent of programs </w:t>
          </w:r>
          <w:r w:rsidR="001C5FD4">
            <w:rPr>
              <w:rFonts w:ascii="Baskerville Old Face" w:hAnsi="Baskerville Old Face"/>
              <w:color w:val="000000" w:themeColor="text1"/>
              <w:sz w:val="24"/>
              <w:szCs w:val="24"/>
            </w:rPr>
            <w:t>in their state</w:t>
          </w:r>
          <w:r w:rsidR="007B7F07">
            <w:rPr>
              <w:rFonts w:ascii="Baskerville Old Face" w:hAnsi="Baskerville Old Face"/>
              <w:color w:val="000000" w:themeColor="text1"/>
              <w:sz w:val="24"/>
              <w:szCs w:val="24"/>
            </w:rPr>
            <w:t xml:space="preserve"> includes Texas (63%), California (90%), Ohio (81%), Oklahoma (93%), Arkansas (69%) and Pennsylvania (81%).  </w:t>
          </w:r>
          <w:r w:rsidR="001C5FD4">
            <w:rPr>
              <w:rFonts w:ascii="Baskerville Old Face" w:hAnsi="Baskerville Old Face"/>
              <w:color w:val="000000" w:themeColor="text1"/>
              <w:sz w:val="24"/>
              <w:szCs w:val="24"/>
            </w:rPr>
            <w:t xml:space="preserve">States not included in this sample are </w:t>
          </w:r>
          <w:r w:rsidR="007B7F07">
            <w:rPr>
              <w:rFonts w:ascii="Baskerville Old Face" w:hAnsi="Baskerville Old Face"/>
              <w:color w:val="000000" w:themeColor="text1"/>
              <w:sz w:val="24"/>
              <w:szCs w:val="24"/>
            </w:rPr>
            <w:t>Rhode Island, Puerto Rico, Virgin Islands, and Vermont</w:t>
          </w:r>
          <w:r w:rsidR="001C5FD4">
            <w:rPr>
              <w:rFonts w:ascii="Baskerville Old Face" w:hAnsi="Baskerville Old Face"/>
              <w:color w:val="000000" w:themeColor="text1"/>
              <w:sz w:val="24"/>
              <w:szCs w:val="24"/>
            </w:rPr>
            <w:t xml:space="preserve"> due to their lack of AET use</w:t>
          </w:r>
          <w:r w:rsidR="007B7F07">
            <w:rPr>
              <w:rFonts w:ascii="Baskerville Old Face" w:hAnsi="Baskerville Old Face"/>
              <w:color w:val="000000" w:themeColor="text1"/>
              <w:sz w:val="24"/>
              <w:szCs w:val="24"/>
            </w:rPr>
            <w:t xml:space="preserve">.  </w:t>
          </w:r>
        </w:p>
        <w:p w14:paraId="7BA1CCEA" w14:textId="7993DE35" w:rsidR="001B2797" w:rsidRPr="00192227" w:rsidRDefault="001B2797" w:rsidP="00192227">
          <w:pPr>
            <w:pStyle w:val="ListBullet"/>
            <w:numPr>
              <w:ilvl w:val="0"/>
              <w:numId w:val="0"/>
            </w:numPr>
            <w:rPr>
              <w:rFonts w:ascii="Baskerville Old Face" w:hAnsi="Baskerville Old Face"/>
              <w:sz w:val="24"/>
              <w:szCs w:val="24"/>
            </w:rPr>
          </w:pPr>
        </w:p>
        <w:p w14:paraId="25A879D2" w14:textId="48A7F50D" w:rsidR="00007129" w:rsidRPr="00192227" w:rsidRDefault="001C5FD4" w:rsidP="00192227">
          <w:pPr>
            <w:pStyle w:val="ListBullet"/>
            <w:numPr>
              <w:ilvl w:val="0"/>
              <w:numId w:val="0"/>
            </w:numPr>
            <w:rPr>
              <w:rFonts w:ascii="Baskerville Old Face" w:hAnsi="Baskerville Old Face"/>
              <w:color w:val="000000" w:themeColor="text1"/>
              <w:sz w:val="24"/>
              <w:szCs w:val="24"/>
            </w:rPr>
          </w:pPr>
          <w:r>
            <w:rPr>
              <w:rFonts w:ascii="Baskerville Old Face" w:hAnsi="Baskerville Old Face"/>
              <w:color w:val="000000" w:themeColor="text1"/>
              <w:sz w:val="24"/>
              <w:szCs w:val="24"/>
            </w:rPr>
            <w:t>On average, this sample of 4,423 programs represents 54</w:t>
          </w:r>
          <w:r w:rsidR="00EB3822" w:rsidRPr="00192227">
            <w:rPr>
              <w:rFonts w:ascii="Baskerville Old Face" w:hAnsi="Baskerville Old Face"/>
              <w:color w:val="000000" w:themeColor="text1"/>
              <w:sz w:val="24"/>
              <w:szCs w:val="24"/>
            </w:rPr>
            <w:t>% of programs</w:t>
          </w:r>
          <w:r>
            <w:rPr>
              <w:rFonts w:ascii="Baskerville Old Face" w:hAnsi="Baskerville Old Face"/>
              <w:color w:val="000000" w:themeColor="text1"/>
              <w:sz w:val="24"/>
              <w:szCs w:val="24"/>
            </w:rPr>
            <w:t xml:space="preserve"> in states (high is OK at 93% and low is MA at 6%)</w:t>
          </w:r>
          <w:r w:rsidR="00EB3822" w:rsidRPr="00192227">
            <w:rPr>
              <w:rFonts w:ascii="Baskerville Old Face" w:hAnsi="Baskerville Old Face"/>
              <w:color w:val="000000" w:themeColor="text1"/>
              <w:sz w:val="24"/>
              <w:szCs w:val="24"/>
            </w:rPr>
            <w:t xml:space="preserve"> and </w:t>
          </w:r>
          <w:r>
            <w:rPr>
              <w:rFonts w:ascii="Baskerville Old Face" w:hAnsi="Baskerville Old Face"/>
              <w:color w:val="000000" w:themeColor="text1"/>
              <w:sz w:val="24"/>
              <w:szCs w:val="24"/>
            </w:rPr>
            <w:t>31</w:t>
          </w:r>
          <w:r w:rsidR="00EB3822" w:rsidRPr="00192227">
            <w:rPr>
              <w:rFonts w:ascii="Baskerville Old Face" w:hAnsi="Baskerville Old Face"/>
              <w:color w:val="000000" w:themeColor="text1"/>
              <w:sz w:val="24"/>
              <w:szCs w:val="24"/>
            </w:rPr>
            <w:t xml:space="preserve">% of students </w:t>
          </w:r>
          <w:r>
            <w:rPr>
              <w:rFonts w:ascii="Baskerville Old Face" w:hAnsi="Baskerville Old Face"/>
              <w:color w:val="000000" w:themeColor="text1"/>
              <w:sz w:val="24"/>
              <w:szCs w:val="24"/>
            </w:rPr>
            <w:t xml:space="preserve">(high is 70% Idaho and low is HI 5%) </w:t>
          </w:r>
          <w:r w:rsidR="00EB3822" w:rsidRPr="00192227">
            <w:rPr>
              <w:rFonts w:ascii="Baskerville Old Face" w:hAnsi="Baskerville Old Face"/>
              <w:color w:val="000000" w:themeColor="text1"/>
              <w:sz w:val="24"/>
              <w:szCs w:val="24"/>
            </w:rPr>
            <w:t xml:space="preserve">utilizing the AET. </w:t>
          </w:r>
          <w:r w:rsidR="00563BF7" w:rsidRPr="00192227">
            <w:rPr>
              <w:rFonts w:ascii="Baskerville Old Face" w:hAnsi="Baskerville Old Face"/>
              <w:color w:val="000000" w:themeColor="text1"/>
              <w:sz w:val="24"/>
              <w:szCs w:val="24"/>
            </w:rPr>
            <w:t xml:space="preserve"> </w:t>
          </w:r>
          <w:r w:rsidR="00832775" w:rsidRPr="00192227">
            <w:rPr>
              <w:rFonts w:ascii="Baskerville Old Face" w:hAnsi="Baskerville Old Face"/>
              <w:color w:val="000000" w:themeColor="text1"/>
              <w:sz w:val="24"/>
              <w:szCs w:val="24"/>
            </w:rPr>
            <w:t xml:space="preserve">Table </w:t>
          </w:r>
          <w:r w:rsidR="006267F1">
            <w:rPr>
              <w:rFonts w:ascii="Baskerville Old Face" w:hAnsi="Baskerville Old Face"/>
              <w:color w:val="000000" w:themeColor="text1"/>
              <w:sz w:val="24"/>
              <w:szCs w:val="24"/>
            </w:rPr>
            <w:t>1</w:t>
          </w:r>
          <w:r w:rsidR="00832775" w:rsidRPr="00192227">
            <w:rPr>
              <w:rFonts w:ascii="Baskerville Old Face" w:hAnsi="Baskerville Old Face"/>
              <w:color w:val="000000" w:themeColor="text1"/>
              <w:sz w:val="24"/>
              <w:szCs w:val="24"/>
            </w:rPr>
            <w:t xml:space="preserve"> provides a </w:t>
          </w:r>
          <w:r w:rsidR="00F81228" w:rsidRPr="00192227">
            <w:rPr>
              <w:rFonts w:ascii="Baskerville Old Face" w:hAnsi="Baskerville Old Face"/>
              <w:color w:val="000000" w:themeColor="text1"/>
              <w:sz w:val="24"/>
              <w:szCs w:val="24"/>
            </w:rPr>
            <w:t xml:space="preserve">demographic </w:t>
          </w:r>
          <w:r w:rsidR="00832775" w:rsidRPr="00192227">
            <w:rPr>
              <w:rFonts w:ascii="Baskerville Old Face" w:hAnsi="Baskerville Old Face"/>
              <w:color w:val="000000" w:themeColor="text1"/>
              <w:sz w:val="24"/>
              <w:szCs w:val="24"/>
            </w:rPr>
            <w:t>summary of students and programs in this sample.</w:t>
          </w:r>
          <w:r w:rsidR="000D0120" w:rsidRPr="00192227">
            <w:rPr>
              <w:rFonts w:ascii="Baskerville Old Face" w:hAnsi="Baskerville Old Face"/>
              <w:color w:val="000000" w:themeColor="text1"/>
              <w:sz w:val="24"/>
              <w:szCs w:val="24"/>
            </w:rPr>
            <w:t xml:space="preserve"> </w:t>
          </w:r>
        </w:p>
        <w:p w14:paraId="7458CFD9" w14:textId="77777777" w:rsidR="00FD6343" w:rsidRPr="00192227" w:rsidRDefault="00FD6343" w:rsidP="00192227">
          <w:pPr>
            <w:pStyle w:val="ListBullet"/>
            <w:numPr>
              <w:ilvl w:val="0"/>
              <w:numId w:val="0"/>
            </w:numPr>
            <w:rPr>
              <w:rFonts w:ascii="Baskerville Old Face" w:hAnsi="Baskerville Old Face"/>
              <w:color w:val="000000" w:themeColor="text1"/>
              <w:sz w:val="24"/>
              <w:szCs w:val="24"/>
            </w:rPr>
          </w:pPr>
        </w:p>
        <w:p w14:paraId="634CE3B1" w14:textId="09FB2623" w:rsidR="001E16D3" w:rsidRPr="00192227" w:rsidRDefault="00852F3D" w:rsidP="00192227">
          <w:pPr>
            <w:pStyle w:val="BodyText"/>
            <w:spacing w:after="0"/>
            <w:rPr>
              <w:rFonts w:ascii="Baskerville Old Face" w:hAnsi="Baskerville Old Face"/>
              <w:color w:val="000000" w:themeColor="text1"/>
              <w:sz w:val="24"/>
              <w:szCs w:val="24"/>
            </w:rPr>
          </w:pPr>
          <w:r w:rsidRPr="00192227">
            <w:rPr>
              <w:rFonts w:ascii="Baskerville Old Face" w:hAnsi="Baskerville Old Face"/>
              <w:color w:val="000000" w:themeColor="text1"/>
              <w:sz w:val="24"/>
              <w:szCs w:val="24"/>
            </w:rPr>
            <w:t xml:space="preserve">Table </w:t>
          </w:r>
          <w:r w:rsidR="006267F1">
            <w:rPr>
              <w:rFonts w:ascii="Baskerville Old Face" w:hAnsi="Baskerville Old Face"/>
              <w:color w:val="000000" w:themeColor="text1"/>
              <w:sz w:val="24"/>
              <w:szCs w:val="24"/>
            </w:rPr>
            <w:t>1</w:t>
          </w:r>
          <w:r w:rsidR="001E16D3" w:rsidRPr="00192227">
            <w:rPr>
              <w:rFonts w:ascii="Baskerville Old Face" w:hAnsi="Baskerville Old Face"/>
              <w:color w:val="000000" w:themeColor="text1"/>
              <w:sz w:val="24"/>
              <w:szCs w:val="24"/>
            </w:rPr>
            <w:t xml:space="preserve"> Samp</w:t>
          </w:r>
          <w:r w:rsidR="00D56C1F" w:rsidRPr="00192227">
            <w:rPr>
              <w:rFonts w:ascii="Baskerville Old Face" w:hAnsi="Baskerville Old Face"/>
              <w:color w:val="000000" w:themeColor="text1"/>
              <w:sz w:val="24"/>
              <w:szCs w:val="24"/>
            </w:rPr>
            <w:t>le Program Demographics (n=</w:t>
          </w:r>
          <w:r w:rsidR="00AC7272" w:rsidRPr="00192227">
            <w:rPr>
              <w:rFonts w:ascii="Baskerville Old Face" w:hAnsi="Baskerville Old Face"/>
              <w:color w:val="000000" w:themeColor="text1"/>
              <w:sz w:val="24"/>
              <w:szCs w:val="24"/>
            </w:rPr>
            <w:t>4,</w:t>
          </w:r>
          <w:r w:rsidR="001C5FD4">
            <w:rPr>
              <w:rFonts w:ascii="Baskerville Old Face" w:hAnsi="Baskerville Old Face"/>
              <w:color w:val="000000" w:themeColor="text1"/>
              <w:sz w:val="24"/>
              <w:szCs w:val="24"/>
            </w:rPr>
            <w:t>423</w:t>
          </w:r>
          <w:r w:rsidR="001E16D3" w:rsidRPr="00192227">
            <w:rPr>
              <w:rFonts w:ascii="Baskerville Old Face" w:hAnsi="Baskerville Old Face"/>
              <w:color w:val="000000" w:themeColor="text1"/>
              <w:sz w:val="24"/>
              <w:szCs w:val="24"/>
            </w:rPr>
            <w:t>)</w:t>
          </w:r>
        </w:p>
        <w:tbl>
          <w:tblPr>
            <w:tblW w:w="6930" w:type="dxa"/>
            <w:tblInd w:w="108" w:type="dxa"/>
            <w:tblLayout w:type="fixed"/>
            <w:tblLook w:val="04A0" w:firstRow="1" w:lastRow="0" w:firstColumn="1" w:lastColumn="0" w:noHBand="0" w:noVBand="1"/>
          </w:tblPr>
          <w:tblGrid>
            <w:gridCol w:w="3690"/>
            <w:gridCol w:w="1692"/>
            <w:gridCol w:w="1548"/>
          </w:tblGrid>
          <w:tr w:rsidR="001C5FD4" w:rsidRPr="00192227" w14:paraId="3A81854F" w14:textId="77777777" w:rsidTr="006267F1">
            <w:trPr>
              <w:trHeight w:val="660"/>
            </w:trPr>
            <w:tc>
              <w:tcPr>
                <w:tcW w:w="3690" w:type="dxa"/>
                <w:tcBorders>
                  <w:top w:val="single" w:sz="4" w:space="0" w:color="auto"/>
                  <w:left w:val="nil"/>
                  <w:bottom w:val="single" w:sz="4" w:space="0" w:color="auto"/>
                  <w:right w:val="nil"/>
                </w:tcBorders>
                <w:shd w:val="clear" w:color="auto" w:fill="auto"/>
                <w:vAlign w:val="bottom"/>
                <w:hideMark/>
              </w:tcPr>
              <w:p w14:paraId="594C92FE" w14:textId="0AC9C594" w:rsidR="001C5FD4" w:rsidRPr="00192227" w:rsidRDefault="001C5FD4" w:rsidP="00192227">
                <w:pPr>
                  <w:rPr>
                    <w:rFonts w:asciiTheme="minorHAnsi" w:hAnsiTheme="minorHAnsi" w:cstheme="minorBidi"/>
                    <w:color w:val="000000" w:themeColor="text1"/>
                  </w:rPr>
                </w:pPr>
                <w:r w:rsidRPr="00192227">
                  <w:rPr>
                    <w:rFonts w:asciiTheme="minorHAnsi" w:hAnsiTheme="minorHAnsi" w:cstheme="minorBidi"/>
                    <w:color w:val="000000" w:themeColor="text1"/>
                  </w:rPr>
                  <w:t>Program Demographic</w:t>
                </w:r>
              </w:p>
            </w:tc>
            <w:tc>
              <w:tcPr>
                <w:tcW w:w="1692" w:type="dxa"/>
                <w:tcBorders>
                  <w:top w:val="single" w:sz="4" w:space="0" w:color="auto"/>
                  <w:left w:val="nil"/>
                  <w:bottom w:val="single" w:sz="4" w:space="0" w:color="auto"/>
                  <w:right w:val="nil"/>
                </w:tcBorders>
                <w:shd w:val="clear" w:color="auto" w:fill="auto"/>
                <w:vAlign w:val="center"/>
                <w:hideMark/>
              </w:tcPr>
              <w:p w14:paraId="07C318CA" w14:textId="77777777" w:rsidR="001C5FD4" w:rsidRPr="00192227" w:rsidRDefault="001C5FD4" w:rsidP="00192227">
                <w:pPr>
                  <w:jc w:val="right"/>
                  <w:rPr>
                    <w:rFonts w:asciiTheme="minorHAnsi" w:eastAsia="Times New Roman" w:hAnsiTheme="minorHAnsi"/>
                    <w:color w:val="000000" w:themeColor="text1"/>
                  </w:rPr>
                </w:pPr>
                <w:r w:rsidRPr="00192227">
                  <w:rPr>
                    <w:rFonts w:asciiTheme="minorHAnsi" w:eastAsia="Times New Roman" w:hAnsiTheme="minorHAnsi"/>
                    <w:color w:val="000000" w:themeColor="text1"/>
                  </w:rPr>
                  <w:t xml:space="preserve">Average </w:t>
                </w:r>
              </w:p>
              <w:p w14:paraId="69AFED24" w14:textId="629AAC36" w:rsidR="001C5FD4" w:rsidRPr="00192227" w:rsidRDefault="001C5FD4" w:rsidP="00192227">
                <w:pPr>
                  <w:jc w:val="right"/>
                  <w:rPr>
                    <w:rFonts w:asciiTheme="minorHAnsi" w:eastAsia="Times New Roman" w:hAnsiTheme="minorHAnsi"/>
                    <w:color w:val="000000" w:themeColor="text1"/>
                  </w:rPr>
                </w:pPr>
                <w:r w:rsidRPr="00192227">
                  <w:rPr>
                    <w:rFonts w:asciiTheme="minorHAnsi" w:eastAsia="Times New Roman" w:hAnsiTheme="minorHAnsi"/>
                    <w:color w:val="000000" w:themeColor="text1"/>
                    <w:sz w:val="20"/>
                    <w:szCs w:val="20"/>
                  </w:rPr>
                  <w:t>(Per Program)</w:t>
                </w:r>
              </w:p>
            </w:tc>
            <w:tc>
              <w:tcPr>
                <w:tcW w:w="1548" w:type="dxa"/>
                <w:tcBorders>
                  <w:top w:val="single" w:sz="4" w:space="0" w:color="auto"/>
                  <w:left w:val="nil"/>
                  <w:bottom w:val="single" w:sz="4" w:space="0" w:color="auto"/>
                  <w:right w:val="nil"/>
                </w:tcBorders>
                <w:shd w:val="clear" w:color="auto" w:fill="auto"/>
                <w:vAlign w:val="center"/>
                <w:hideMark/>
              </w:tcPr>
              <w:p w14:paraId="1D297A3D" w14:textId="3B1A2B92" w:rsidR="001C5FD4" w:rsidRPr="00192227" w:rsidRDefault="001C5FD4" w:rsidP="00192227">
                <w:pPr>
                  <w:jc w:val="right"/>
                  <w:rPr>
                    <w:rFonts w:asciiTheme="minorHAnsi" w:eastAsia="Times New Roman" w:hAnsiTheme="minorHAnsi"/>
                    <w:color w:val="000000" w:themeColor="text1"/>
                  </w:rPr>
                </w:pPr>
                <w:r>
                  <w:rPr>
                    <w:rFonts w:asciiTheme="minorHAnsi" w:eastAsia="Times New Roman" w:hAnsiTheme="minorHAnsi"/>
                    <w:color w:val="000000" w:themeColor="text1"/>
                  </w:rPr>
                  <w:t>% Change from 2018</w:t>
                </w:r>
              </w:p>
            </w:tc>
          </w:tr>
          <w:tr w:rsidR="001C5FD4" w:rsidRPr="00192227" w14:paraId="63014776" w14:textId="77777777" w:rsidTr="006267F1">
            <w:trPr>
              <w:trHeight w:val="320"/>
            </w:trPr>
            <w:tc>
              <w:tcPr>
                <w:tcW w:w="3690" w:type="dxa"/>
                <w:tcBorders>
                  <w:top w:val="single" w:sz="4" w:space="0" w:color="auto"/>
                  <w:left w:val="nil"/>
                  <w:bottom w:val="nil"/>
                  <w:right w:val="nil"/>
                </w:tcBorders>
                <w:shd w:val="clear" w:color="auto" w:fill="auto"/>
                <w:noWrap/>
                <w:vAlign w:val="bottom"/>
                <w:hideMark/>
              </w:tcPr>
              <w:p w14:paraId="15E4080F" w14:textId="5123D862" w:rsidR="001C5FD4" w:rsidRPr="00192227" w:rsidRDefault="001C5FD4" w:rsidP="00192227">
                <w:pPr>
                  <w:rPr>
                    <w:rFonts w:asciiTheme="minorHAnsi" w:eastAsia="Times New Roman" w:hAnsiTheme="minorHAnsi"/>
                    <w:color w:val="000000" w:themeColor="text1"/>
                  </w:rPr>
                </w:pPr>
                <w:r w:rsidRPr="00192227">
                  <w:rPr>
                    <w:rFonts w:asciiTheme="minorHAnsi" w:eastAsia="Times New Roman" w:hAnsiTheme="minorHAnsi"/>
                    <w:color w:val="000000" w:themeColor="text1"/>
                  </w:rPr>
                  <w:t>Number of Teachers</w:t>
                </w:r>
              </w:p>
            </w:tc>
            <w:tc>
              <w:tcPr>
                <w:tcW w:w="1692" w:type="dxa"/>
                <w:tcBorders>
                  <w:top w:val="single" w:sz="4" w:space="0" w:color="auto"/>
                  <w:left w:val="nil"/>
                  <w:bottom w:val="nil"/>
                  <w:right w:val="nil"/>
                </w:tcBorders>
                <w:shd w:val="clear" w:color="auto" w:fill="auto"/>
                <w:noWrap/>
                <w:vAlign w:val="bottom"/>
                <w:hideMark/>
              </w:tcPr>
              <w:p w14:paraId="6815F18D" w14:textId="679AC30E" w:rsidR="001C5FD4" w:rsidRPr="00192227" w:rsidRDefault="001C5FD4" w:rsidP="00192227">
                <w:pPr>
                  <w:jc w:val="right"/>
                  <w:rPr>
                    <w:rFonts w:asciiTheme="minorHAnsi" w:eastAsia="Times New Roman" w:hAnsiTheme="minorHAnsi"/>
                    <w:color w:val="000000" w:themeColor="text1"/>
                  </w:rPr>
                </w:pPr>
                <w:r w:rsidRPr="00192227">
                  <w:rPr>
                    <w:rFonts w:ascii="Baskerville" w:eastAsia="Times New Roman" w:hAnsi="Baskerville"/>
                    <w:color w:val="000000" w:themeColor="text1"/>
                  </w:rPr>
                  <w:t xml:space="preserve"> 1.</w:t>
                </w:r>
                <w:r>
                  <w:rPr>
                    <w:rFonts w:ascii="Baskerville" w:eastAsia="Times New Roman" w:hAnsi="Baskerville"/>
                    <w:color w:val="000000" w:themeColor="text1"/>
                  </w:rPr>
                  <w:t>87</w:t>
                </w:r>
                <w:r w:rsidRPr="00192227">
                  <w:rPr>
                    <w:rFonts w:ascii="Baskerville" w:eastAsia="Times New Roman" w:hAnsi="Baskerville"/>
                    <w:color w:val="000000" w:themeColor="text1"/>
                  </w:rPr>
                  <w:t xml:space="preserve"> </w:t>
                </w:r>
              </w:p>
            </w:tc>
            <w:tc>
              <w:tcPr>
                <w:tcW w:w="1548" w:type="dxa"/>
                <w:tcBorders>
                  <w:top w:val="single" w:sz="4" w:space="0" w:color="auto"/>
                  <w:left w:val="nil"/>
                  <w:bottom w:val="nil"/>
                  <w:right w:val="nil"/>
                </w:tcBorders>
                <w:shd w:val="clear" w:color="auto" w:fill="auto"/>
                <w:noWrap/>
                <w:vAlign w:val="center"/>
                <w:hideMark/>
              </w:tcPr>
              <w:p w14:paraId="2CE0A0B7" w14:textId="0D3FA211" w:rsidR="001C5FD4" w:rsidRPr="00192227" w:rsidRDefault="001C5FD4" w:rsidP="00192227">
                <w:pPr>
                  <w:jc w:val="right"/>
                  <w:rPr>
                    <w:rFonts w:asciiTheme="minorHAnsi" w:eastAsia="Times New Roman" w:hAnsiTheme="minorHAnsi"/>
                    <w:color w:val="000000" w:themeColor="text1"/>
                  </w:rPr>
                </w:pPr>
                <w:r w:rsidRPr="00192227">
                  <w:rPr>
                    <w:rFonts w:asciiTheme="minorHAnsi" w:eastAsia="Times New Roman" w:hAnsiTheme="minorHAnsi"/>
                    <w:color w:val="000000" w:themeColor="text1"/>
                  </w:rPr>
                  <w:t xml:space="preserve"> </w:t>
                </w:r>
                <w:r>
                  <w:rPr>
                    <w:rFonts w:asciiTheme="minorHAnsi" w:eastAsia="Times New Roman" w:hAnsiTheme="minorHAnsi"/>
                    <w:color w:val="000000" w:themeColor="text1"/>
                  </w:rPr>
                  <w:t>5%</w:t>
                </w:r>
                <w:r w:rsidRPr="00192227">
                  <w:rPr>
                    <w:rFonts w:asciiTheme="minorHAnsi" w:eastAsia="Times New Roman" w:hAnsiTheme="minorHAnsi"/>
                    <w:color w:val="000000" w:themeColor="text1"/>
                  </w:rPr>
                  <w:t xml:space="preserve"> </w:t>
                </w:r>
              </w:p>
            </w:tc>
          </w:tr>
          <w:tr w:rsidR="001C5FD4" w:rsidRPr="00192227" w14:paraId="617D826B" w14:textId="77777777" w:rsidTr="006267F1">
            <w:trPr>
              <w:trHeight w:val="320"/>
            </w:trPr>
            <w:tc>
              <w:tcPr>
                <w:tcW w:w="3690" w:type="dxa"/>
                <w:tcBorders>
                  <w:top w:val="nil"/>
                  <w:left w:val="nil"/>
                  <w:bottom w:val="nil"/>
                  <w:right w:val="nil"/>
                </w:tcBorders>
                <w:shd w:val="clear" w:color="auto" w:fill="auto"/>
                <w:noWrap/>
                <w:vAlign w:val="bottom"/>
                <w:hideMark/>
              </w:tcPr>
              <w:p w14:paraId="431F769F" w14:textId="44CE4C2E" w:rsidR="001C5FD4" w:rsidRPr="00192227" w:rsidRDefault="001C5FD4" w:rsidP="00192227">
                <w:pPr>
                  <w:rPr>
                    <w:rFonts w:asciiTheme="minorHAnsi" w:eastAsia="Times New Roman" w:hAnsiTheme="minorHAnsi"/>
                    <w:color w:val="000000" w:themeColor="text1"/>
                    <w:vertAlign w:val="superscript"/>
                  </w:rPr>
                </w:pPr>
                <w:r w:rsidRPr="00192227">
                  <w:rPr>
                    <w:rFonts w:asciiTheme="minorHAnsi" w:eastAsia="Times New Roman" w:hAnsiTheme="minorHAnsi"/>
                    <w:color w:val="000000" w:themeColor="text1"/>
                  </w:rPr>
                  <w:t>Active Students (all grades)</w:t>
                </w:r>
              </w:p>
            </w:tc>
            <w:tc>
              <w:tcPr>
                <w:tcW w:w="1692" w:type="dxa"/>
                <w:tcBorders>
                  <w:top w:val="nil"/>
                  <w:left w:val="nil"/>
                  <w:bottom w:val="nil"/>
                  <w:right w:val="nil"/>
                </w:tcBorders>
                <w:shd w:val="clear" w:color="auto" w:fill="auto"/>
                <w:noWrap/>
                <w:vAlign w:val="bottom"/>
                <w:hideMark/>
              </w:tcPr>
              <w:p w14:paraId="29169C29" w14:textId="0EDD4E3F" w:rsidR="001C5FD4" w:rsidRPr="00192227" w:rsidRDefault="001C5FD4" w:rsidP="00192227">
                <w:pPr>
                  <w:jc w:val="right"/>
                  <w:rPr>
                    <w:rFonts w:asciiTheme="minorHAnsi" w:eastAsia="Times New Roman" w:hAnsiTheme="minorHAnsi"/>
                    <w:color w:val="000000" w:themeColor="text1"/>
                  </w:rPr>
                </w:pPr>
                <w:r w:rsidRPr="00192227">
                  <w:rPr>
                    <w:rFonts w:ascii="Baskerville" w:eastAsia="Times New Roman" w:hAnsi="Baskerville"/>
                    <w:color w:val="000000" w:themeColor="text1"/>
                  </w:rPr>
                  <w:t xml:space="preserve"> </w:t>
                </w:r>
                <w:r>
                  <w:rPr>
                    <w:rFonts w:ascii="Baskerville" w:eastAsia="Times New Roman" w:hAnsi="Baskerville"/>
                    <w:color w:val="000000" w:themeColor="text1"/>
                  </w:rPr>
                  <w:t>106.6</w:t>
                </w:r>
                <w:r w:rsidRPr="00192227">
                  <w:rPr>
                    <w:rFonts w:ascii="Baskerville" w:eastAsia="Times New Roman" w:hAnsi="Baskerville"/>
                    <w:color w:val="000000" w:themeColor="text1"/>
                  </w:rPr>
                  <w:t xml:space="preserve"> </w:t>
                </w:r>
              </w:p>
            </w:tc>
            <w:tc>
              <w:tcPr>
                <w:tcW w:w="1548" w:type="dxa"/>
                <w:tcBorders>
                  <w:top w:val="nil"/>
                  <w:left w:val="nil"/>
                  <w:bottom w:val="nil"/>
                  <w:right w:val="nil"/>
                </w:tcBorders>
                <w:shd w:val="clear" w:color="auto" w:fill="auto"/>
                <w:noWrap/>
                <w:vAlign w:val="center"/>
                <w:hideMark/>
              </w:tcPr>
              <w:p w14:paraId="6371A809" w14:textId="72661AA4" w:rsidR="001C5FD4" w:rsidRPr="00192227" w:rsidRDefault="006267F1" w:rsidP="00192227">
                <w:pPr>
                  <w:jc w:val="right"/>
                  <w:rPr>
                    <w:rFonts w:asciiTheme="minorHAnsi" w:eastAsia="Times New Roman" w:hAnsiTheme="minorHAnsi"/>
                    <w:color w:val="000000" w:themeColor="text1"/>
                  </w:rPr>
                </w:pPr>
                <w:r>
                  <w:rPr>
                    <w:rFonts w:asciiTheme="minorHAnsi" w:eastAsia="Times New Roman" w:hAnsiTheme="minorHAnsi"/>
                    <w:color w:val="000000" w:themeColor="text1"/>
                  </w:rPr>
                  <w:t>8%</w:t>
                </w:r>
              </w:p>
            </w:tc>
          </w:tr>
          <w:tr w:rsidR="001C5FD4" w:rsidRPr="00192227" w14:paraId="55DC6BCC" w14:textId="77777777" w:rsidTr="006267F1">
            <w:trPr>
              <w:trHeight w:val="320"/>
            </w:trPr>
            <w:tc>
              <w:tcPr>
                <w:tcW w:w="3690" w:type="dxa"/>
                <w:tcBorders>
                  <w:top w:val="nil"/>
                  <w:left w:val="nil"/>
                  <w:right w:val="nil"/>
                </w:tcBorders>
                <w:shd w:val="clear" w:color="auto" w:fill="auto"/>
                <w:noWrap/>
                <w:vAlign w:val="bottom"/>
              </w:tcPr>
              <w:p w14:paraId="4A744B7A" w14:textId="0A8CC395" w:rsidR="001C5FD4" w:rsidRPr="00192227" w:rsidRDefault="001C5FD4" w:rsidP="00192227">
                <w:pPr>
                  <w:rPr>
                    <w:rFonts w:asciiTheme="minorHAnsi" w:eastAsia="Times New Roman" w:hAnsiTheme="minorHAnsi"/>
                    <w:color w:val="000000" w:themeColor="text1"/>
                  </w:rPr>
                </w:pPr>
                <w:r w:rsidRPr="00192227">
                  <w:rPr>
                    <w:rFonts w:asciiTheme="minorHAnsi" w:eastAsia="Times New Roman" w:hAnsiTheme="minorHAnsi"/>
                    <w:color w:val="000000" w:themeColor="text1"/>
                  </w:rPr>
                  <w:t>% of students with SAEs (Active)</w:t>
                </w:r>
              </w:p>
            </w:tc>
            <w:tc>
              <w:tcPr>
                <w:tcW w:w="1692" w:type="dxa"/>
                <w:tcBorders>
                  <w:top w:val="nil"/>
                  <w:left w:val="nil"/>
                  <w:right w:val="nil"/>
                </w:tcBorders>
                <w:shd w:val="clear" w:color="auto" w:fill="auto"/>
                <w:noWrap/>
                <w:vAlign w:val="bottom"/>
              </w:tcPr>
              <w:p w14:paraId="6A805638" w14:textId="750AE9D3" w:rsidR="001C5FD4" w:rsidRPr="00192227" w:rsidRDefault="001C5FD4" w:rsidP="00192227">
                <w:pPr>
                  <w:jc w:val="right"/>
                  <w:rPr>
                    <w:rFonts w:asciiTheme="minorHAnsi" w:eastAsia="Times New Roman" w:hAnsiTheme="minorHAnsi"/>
                    <w:color w:val="000000" w:themeColor="text1"/>
                  </w:rPr>
                </w:pPr>
                <w:r>
                  <w:rPr>
                    <w:rFonts w:ascii="Baskerville" w:eastAsia="Times New Roman" w:hAnsi="Baskerville"/>
                    <w:color w:val="000000" w:themeColor="text1"/>
                  </w:rPr>
                  <w:t>59</w:t>
                </w:r>
                <w:r w:rsidRPr="00192227">
                  <w:rPr>
                    <w:rFonts w:ascii="Baskerville" w:eastAsia="Times New Roman" w:hAnsi="Baskerville"/>
                    <w:color w:val="000000" w:themeColor="text1"/>
                  </w:rPr>
                  <w:t>%</w:t>
                </w:r>
              </w:p>
            </w:tc>
            <w:tc>
              <w:tcPr>
                <w:tcW w:w="1548" w:type="dxa"/>
                <w:tcBorders>
                  <w:top w:val="nil"/>
                  <w:left w:val="nil"/>
                  <w:right w:val="nil"/>
                </w:tcBorders>
                <w:shd w:val="clear" w:color="auto" w:fill="auto"/>
                <w:noWrap/>
                <w:vAlign w:val="center"/>
              </w:tcPr>
              <w:p w14:paraId="58788672" w14:textId="0543B5F4" w:rsidR="001C5FD4" w:rsidRPr="00192227" w:rsidRDefault="006267F1" w:rsidP="00192227">
                <w:pPr>
                  <w:jc w:val="right"/>
                  <w:rPr>
                    <w:rFonts w:asciiTheme="minorHAnsi" w:eastAsia="Times New Roman" w:hAnsiTheme="minorHAnsi"/>
                    <w:color w:val="000000" w:themeColor="text1"/>
                  </w:rPr>
                </w:pPr>
                <w:r>
                  <w:rPr>
                    <w:rFonts w:asciiTheme="minorHAnsi" w:eastAsia="Times New Roman" w:hAnsiTheme="minorHAnsi"/>
                    <w:color w:val="000000" w:themeColor="text1"/>
                  </w:rPr>
                  <w:t>3%</w:t>
                </w:r>
              </w:p>
            </w:tc>
          </w:tr>
          <w:tr w:rsidR="001C5FD4" w:rsidRPr="00192227" w14:paraId="10A1B357" w14:textId="77777777" w:rsidTr="006267F1">
            <w:trPr>
              <w:trHeight w:val="320"/>
            </w:trPr>
            <w:tc>
              <w:tcPr>
                <w:tcW w:w="3690" w:type="dxa"/>
                <w:tcBorders>
                  <w:left w:val="nil"/>
                  <w:bottom w:val="single" w:sz="4" w:space="0" w:color="auto"/>
                  <w:right w:val="nil"/>
                </w:tcBorders>
                <w:shd w:val="clear" w:color="auto" w:fill="auto"/>
                <w:noWrap/>
                <w:vAlign w:val="bottom"/>
              </w:tcPr>
              <w:p w14:paraId="7EC8EAFB" w14:textId="59F3C288" w:rsidR="001C5FD4" w:rsidRPr="00192227" w:rsidRDefault="001C5FD4" w:rsidP="00192227">
                <w:pPr>
                  <w:rPr>
                    <w:rFonts w:asciiTheme="minorHAnsi" w:eastAsia="Times New Roman" w:hAnsiTheme="minorHAnsi"/>
                    <w:color w:val="000000" w:themeColor="text1"/>
                  </w:rPr>
                </w:pPr>
                <w:r w:rsidRPr="00192227">
                  <w:rPr>
                    <w:rFonts w:asciiTheme="minorHAnsi" w:eastAsia="Times New Roman" w:hAnsiTheme="minorHAnsi"/>
                    <w:color w:val="000000" w:themeColor="text1"/>
                  </w:rPr>
                  <w:t>% of students with Journals (Active)</w:t>
                </w:r>
              </w:p>
            </w:tc>
            <w:tc>
              <w:tcPr>
                <w:tcW w:w="1692" w:type="dxa"/>
                <w:tcBorders>
                  <w:left w:val="nil"/>
                  <w:bottom w:val="single" w:sz="4" w:space="0" w:color="auto"/>
                  <w:right w:val="nil"/>
                </w:tcBorders>
                <w:shd w:val="clear" w:color="auto" w:fill="auto"/>
                <w:noWrap/>
                <w:vAlign w:val="bottom"/>
              </w:tcPr>
              <w:p w14:paraId="7CEBA65A" w14:textId="29504E06" w:rsidR="001C5FD4" w:rsidRPr="00192227" w:rsidRDefault="006267F1" w:rsidP="00192227">
                <w:pPr>
                  <w:jc w:val="right"/>
                  <w:rPr>
                    <w:rFonts w:asciiTheme="minorHAnsi" w:eastAsia="Times New Roman" w:hAnsiTheme="minorHAnsi"/>
                    <w:color w:val="000000" w:themeColor="text1"/>
                  </w:rPr>
                </w:pPr>
                <w:r>
                  <w:rPr>
                    <w:rFonts w:ascii="Baskerville" w:eastAsia="Times New Roman" w:hAnsi="Baskerville"/>
                    <w:color w:val="000000" w:themeColor="text1"/>
                  </w:rPr>
                  <w:t>76%</w:t>
                </w:r>
              </w:p>
            </w:tc>
            <w:tc>
              <w:tcPr>
                <w:tcW w:w="1548" w:type="dxa"/>
                <w:tcBorders>
                  <w:left w:val="nil"/>
                  <w:bottom w:val="single" w:sz="4" w:space="0" w:color="auto"/>
                  <w:right w:val="nil"/>
                </w:tcBorders>
                <w:shd w:val="clear" w:color="auto" w:fill="auto"/>
                <w:noWrap/>
                <w:vAlign w:val="center"/>
              </w:tcPr>
              <w:p w14:paraId="7759BE9B" w14:textId="0CA34337" w:rsidR="001C5FD4" w:rsidRPr="00192227" w:rsidRDefault="006267F1" w:rsidP="00192227">
                <w:pPr>
                  <w:jc w:val="right"/>
                  <w:rPr>
                    <w:rFonts w:asciiTheme="minorHAnsi" w:eastAsia="Times New Roman" w:hAnsiTheme="minorHAnsi"/>
                    <w:color w:val="000000" w:themeColor="text1"/>
                  </w:rPr>
                </w:pPr>
                <w:r>
                  <w:rPr>
                    <w:rFonts w:asciiTheme="minorHAnsi" w:eastAsia="Times New Roman" w:hAnsiTheme="minorHAnsi"/>
                    <w:color w:val="000000" w:themeColor="text1"/>
                  </w:rPr>
                  <w:t>4%</w:t>
                </w:r>
              </w:p>
            </w:tc>
          </w:tr>
        </w:tbl>
        <w:p w14:paraId="72F26B0B" w14:textId="77777777" w:rsidR="00E679F7" w:rsidRPr="00192227" w:rsidRDefault="00E679F7" w:rsidP="00192227">
          <w:pPr>
            <w:pStyle w:val="BodyText"/>
            <w:spacing w:after="120"/>
            <w:rPr>
              <w:rFonts w:ascii="Baskerville Old Face" w:hAnsi="Baskerville Old Face"/>
              <w:color w:val="000000" w:themeColor="text1"/>
              <w:sz w:val="24"/>
              <w:szCs w:val="24"/>
            </w:rPr>
          </w:pPr>
        </w:p>
        <w:p w14:paraId="57D2F4DB" w14:textId="01D500E2" w:rsidR="00E679F7" w:rsidRPr="00192227" w:rsidRDefault="006267F1" w:rsidP="00192227">
          <w:pPr>
            <w:pStyle w:val="BodyText"/>
            <w:spacing w:after="120"/>
            <w:rPr>
              <w:rFonts w:ascii="Baskerville Old Face" w:hAnsi="Baskerville Old Face"/>
              <w:sz w:val="24"/>
              <w:szCs w:val="24"/>
            </w:rPr>
          </w:pPr>
          <w:r>
            <w:rPr>
              <w:rFonts w:ascii="Baskerville Old Face" w:hAnsi="Baskerville Old Face"/>
              <w:color w:val="000000" w:themeColor="text1"/>
              <w:sz w:val="24"/>
              <w:szCs w:val="24"/>
            </w:rPr>
            <w:t xml:space="preserve">As illustrated in Table 1, numbers have teachers has increased 5%, but student enrollment appears to be 8% higher than in 2018.  </w:t>
          </w:r>
          <w:r w:rsidR="00E679F7" w:rsidRPr="00192227">
            <w:rPr>
              <w:rFonts w:ascii="Baskerville Old Face" w:hAnsi="Baskerville Old Face"/>
              <w:color w:val="000000" w:themeColor="text1"/>
              <w:sz w:val="24"/>
              <w:szCs w:val="24"/>
            </w:rPr>
            <w:t>SAE and journal engagemen</w:t>
          </w:r>
          <w:r w:rsidR="006C29EF" w:rsidRPr="00192227">
            <w:rPr>
              <w:rFonts w:ascii="Baskerville Old Face" w:hAnsi="Baskerville Old Face"/>
              <w:color w:val="000000" w:themeColor="text1"/>
              <w:sz w:val="24"/>
              <w:szCs w:val="24"/>
            </w:rPr>
            <w:t>t</w:t>
          </w:r>
          <w:r>
            <w:rPr>
              <w:rFonts w:ascii="Baskerville Old Face" w:hAnsi="Baskerville Old Face"/>
              <w:color w:val="000000" w:themeColor="text1"/>
              <w:sz w:val="24"/>
              <w:szCs w:val="24"/>
            </w:rPr>
            <w:t xml:space="preserve">, which connects to potential skill records show an increase as well at 3% and 4% respectively. </w:t>
          </w:r>
        </w:p>
      </w:sdtContent>
    </w:sdt>
    <w:p w14:paraId="3E15B81C" w14:textId="4D9A9775" w:rsidR="00075E2D" w:rsidRPr="00192227" w:rsidRDefault="00850F25" w:rsidP="00192227">
      <w:pPr>
        <w:pStyle w:val="Heading1"/>
        <w:spacing w:before="120" w:after="120"/>
        <w:rPr>
          <w:rFonts w:ascii="Baskerville Old Face" w:hAnsi="Baskerville Old Face"/>
          <w:color w:val="4F7AB5" w:themeColor="accent4"/>
          <w:sz w:val="32"/>
          <w:szCs w:val="32"/>
        </w:rPr>
      </w:pPr>
      <w:r>
        <w:rPr>
          <w:rFonts w:ascii="Baskerville Old Face" w:hAnsi="Baskerville Old Face"/>
          <w:color w:val="4F7AB5" w:themeColor="accent4"/>
          <w:sz w:val="32"/>
          <w:szCs w:val="32"/>
        </w:rPr>
        <w:t>2019</w:t>
      </w:r>
      <w:r w:rsidR="00852F3D" w:rsidRPr="00192227">
        <w:rPr>
          <w:rFonts w:ascii="Baskerville Old Face" w:hAnsi="Baskerville Old Face"/>
          <w:color w:val="4F7AB5" w:themeColor="accent4"/>
          <w:sz w:val="32"/>
          <w:szCs w:val="32"/>
        </w:rPr>
        <w:t xml:space="preserve"> </w:t>
      </w:r>
      <w:r w:rsidR="00261162" w:rsidRPr="00192227">
        <w:rPr>
          <w:rFonts w:ascii="Baskerville Old Face" w:hAnsi="Baskerville Old Face"/>
          <w:color w:val="4F7AB5" w:themeColor="accent4"/>
          <w:sz w:val="32"/>
          <w:szCs w:val="32"/>
        </w:rPr>
        <w:t>Agricultural Education</w:t>
      </w:r>
      <w:r w:rsidR="00B34607" w:rsidRPr="00192227">
        <w:rPr>
          <w:rFonts w:ascii="Baskerville Old Face" w:hAnsi="Baskerville Old Face"/>
          <w:color w:val="4F7AB5" w:themeColor="accent4"/>
          <w:sz w:val="32"/>
          <w:szCs w:val="32"/>
        </w:rPr>
        <w:t xml:space="preserve"> </w:t>
      </w:r>
      <w:r w:rsidR="00433D42" w:rsidRPr="00192227">
        <w:rPr>
          <w:rFonts w:ascii="Baskerville Old Face" w:hAnsi="Baskerville Old Face"/>
          <w:color w:val="4F7AB5" w:themeColor="accent4"/>
          <w:sz w:val="32"/>
          <w:szCs w:val="32"/>
        </w:rPr>
        <w:t>Program Engagement</w:t>
      </w:r>
      <w:r w:rsidR="00261162" w:rsidRPr="00192227">
        <w:rPr>
          <w:rFonts w:ascii="Baskerville Old Face" w:hAnsi="Baskerville Old Face"/>
          <w:color w:val="4F7AB5" w:themeColor="accent4"/>
          <w:sz w:val="32"/>
          <w:szCs w:val="32"/>
        </w:rPr>
        <w:t xml:space="preserve"> </w:t>
      </w:r>
    </w:p>
    <w:p w14:paraId="097DD202" w14:textId="77777777" w:rsidR="006267F1" w:rsidRDefault="006267F1" w:rsidP="00192227">
      <w:pPr>
        <w:pStyle w:val="ListBullet"/>
        <w:numPr>
          <w:ilvl w:val="0"/>
          <w:numId w:val="0"/>
        </w:numPr>
        <w:spacing w:before="120" w:after="120"/>
        <w:rPr>
          <w:rFonts w:ascii="Baskerville Old Face" w:hAnsi="Baskerville Old Face"/>
          <w:sz w:val="24"/>
          <w:szCs w:val="24"/>
        </w:rPr>
      </w:pPr>
      <w:r>
        <w:rPr>
          <w:rFonts w:ascii="Baskerville Old Face" w:hAnsi="Baskerville Old Face"/>
          <w:sz w:val="24"/>
          <w:szCs w:val="24"/>
        </w:rPr>
        <w:t xml:space="preserve">A core area of experiential learning, commonly called a Supervised Agricultural Experience (SAE) in agricultural education is a main objective of tracking experiences and is similar to Career and Technology Education’s (CTE) Work-based Learning Experience.  The SAE is first a planned learning experience that includes connections to academic content standards, then includes records (time and money) to illustrate action items, and then finally aspects of record keeping allow students to reflect on project outcomes and measurable results.  Other forms of </w:t>
      </w:r>
      <w:r>
        <w:rPr>
          <w:rFonts w:ascii="Baskerville Old Face" w:hAnsi="Baskerville Old Face"/>
          <w:sz w:val="24"/>
          <w:szCs w:val="24"/>
        </w:rPr>
        <w:lastRenderedPageBreak/>
        <w:t>experiential learning include FFA and community service activities, which offer additional metrics for learning outcomes.</w:t>
      </w:r>
    </w:p>
    <w:p w14:paraId="160749FC" w14:textId="11FF481A" w:rsidR="006267F1" w:rsidRDefault="006267F1" w:rsidP="00192227">
      <w:pPr>
        <w:pStyle w:val="ListBullet"/>
        <w:numPr>
          <w:ilvl w:val="0"/>
          <w:numId w:val="0"/>
        </w:numPr>
        <w:spacing w:before="120" w:after="120"/>
        <w:rPr>
          <w:rFonts w:ascii="Baskerville Old Face" w:hAnsi="Baskerville Old Face"/>
          <w:sz w:val="24"/>
          <w:szCs w:val="24"/>
        </w:rPr>
      </w:pPr>
      <w:r>
        <w:rPr>
          <w:rFonts w:ascii="Baskerville Old Face" w:hAnsi="Baskerville Old Face"/>
          <w:sz w:val="24"/>
          <w:szCs w:val="24"/>
        </w:rPr>
        <w:t xml:space="preserve">    </w:t>
      </w:r>
    </w:p>
    <w:p w14:paraId="7D26EE34" w14:textId="677CAF5E" w:rsidR="00B23AA4" w:rsidRPr="00192227" w:rsidRDefault="00B23AA4" w:rsidP="00192227">
      <w:pPr>
        <w:pStyle w:val="ListBullet"/>
        <w:numPr>
          <w:ilvl w:val="0"/>
          <w:numId w:val="0"/>
        </w:numPr>
        <w:spacing w:before="120" w:after="120"/>
        <w:rPr>
          <w:rFonts w:ascii="Baskerville Old Face" w:hAnsi="Baskerville Old Face"/>
          <w:sz w:val="24"/>
          <w:szCs w:val="24"/>
        </w:rPr>
      </w:pPr>
      <w:r w:rsidRPr="00192227">
        <w:rPr>
          <w:rFonts w:ascii="Baskerville Old Face" w:hAnsi="Baskerville Old Face"/>
          <w:sz w:val="24"/>
          <w:szCs w:val="24"/>
        </w:rPr>
        <w:t xml:space="preserve">Table </w:t>
      </w:r>
      <w:r w:rsidR="00394FF5">
        <w:rPr>
          <w:rFonts w:ascii="Baskerville Old Face" w:hAnsi="Baskerville Old Face"/>
          <w:sz w:val="24"/>
          <w:szCs w:val="24"/>
        </w:rPr>
        <w:t>2</w:t>
      </w:r>
      <w:r w:rsidR="00433D42" w:rsidRPr="00192227">
        <w:rPr>
          <w:rFonts w:ascii="Baskerville Old Face" w:hAnsi="Baskerville Old Face"/>
          <w:sz w:val="24"/>
          <w:szCs w:val="24"/>
        </w:rPr>
        <w:t xml:space="preserve"> pr</w:t>
      </w:r>
      <w:r w:rsidRPr="00192227">
        <w:rPr>
          <w:rFonts w:ascii="Baskerville Old Face" w:hAnsi="Baskerville Old Face"/>
          <w:sz w:val="24"/>
          <w:szCs w:val="24"/>
        </w:rPr>
        <w:t xml:space="preserve">ovides a summary of </w:t>
      </w:r>
      <w:r w:rsidR="00433D42" w:rsidRPr="00192227">
        <w:rPr>
          <w:rFonts w:ascii="Baskerville Old Face" w:hAnsi="Baskerville Old Face"/>
          <w:sz w:val="24"/>
          <w:szCs w:val="24"/>
        </w:rPr>
        <w:t>engagement</w:t>
      </w:r>
      <w:r w:rsidR="0050564F" w:rsidRPr="00192227">
        <w:rPr>
          <w:rFonts w:ascii="Baskerville Old Face" w:hAnsi="Baskerville Old Face"/>
          <w:sz w:val="24"/>
          <w:szCs w:val="24"/>
        </w:rPr>
        <w:t xml:space="preserve"> by </w:t>
      </w:r>
      <w:r w:rsidR="00E93BBB" w:rsidRPr="00192227">
        <w:rPr>
          <w:rFonts w:ascii="Baskerville Old Face" w:hAnsi="Baskerville Old Face"/>
          <w:sz w:val="24"/>
          <w:szCs w:val="24"/>
        </w:rPr>
        <w:t xml:space="preserve">SAE </w:t>
      </w:r>
      <w:r w:rsidR="0050564F" w:rsidRPr="00192227">
        <w:rPr>
          <w:rFonts w:ascii="Baskerville Old Face" w:hAnsi="Baskerville Old Face"/>
          <w:sz w:val="24"/>
          <w:szCs w:val="24"/>
        </w:rPr>
        <w:t>type</w:t>
      </w:r>
      <w:r w:rsidR="00C26F6E" w:rsidRPr="00192227">
        <w:rPr>
          <w:rFonts w:ascii="Baskerville Old Face" w:hAnsi="Baskerville Old Face"/>
          <w:sz w:val="24"/>
          <w:szCs w:val="24"/>
        </w:rPr>
        <w:t xml:space="preserve"> per program and a national estimate</w:t>
      </w:r>
      <w:r w:rsidR="008968A7" w:rsidRPr="00192227">
        <w:rPr>
          <w:rFonts w:ascii="Baskerville Old Face" w:hAnsi="Baskerville Old Face"/>
          <w:sz w:val="24"/>
          <w:szCs w:val="24"/>
        </w:rPr>
        <w:t xml:space="preserve"> of total SAE</w:t>
      </w:r>
      <w:r w:rsidR="006267F1">
        <w:rPr>
          <w:rFonts w:ascii="Baskerville Old Face" w:hAnsi="Baskerville Old Face"/>
          <w:sz w:val="24"/>
          <w:szCs w:val="24"/>
        </w:rPr>
        <w:t xml:space="preserve"> involvement</w:t>
      </w:r>
      <w:r w:rsidR="00EB3822" w:rsidRPr="00192227">
        <w:rPr>
          <w:rFonts w:ascii="Baskerville Old Face" w:hAnsi="Baskerville Old Face"/>
          <w:sz w:val="24"/>
          <w:szCs w:val="24"/>
        </w:rPr>
        <w:t>.</w:t>
      </w:r>
    </w:p>
    <w:p w14:paraId="1E8C7545" w14:textId="598D2B83" w:rsidR="00C33C19" w:rsidRPr="00192227" w:rsidRDefault="00433D42" w:rsidP="00192227">
      <w:pPr>
        <w:pStyle w:val="ListBullet"/>
        <w:numPr>
          <w:ilvl w:val="0"/>
          <w:numId w:val="0"/>
        </w:numPr>
        <w:spacing w:before="120" w:after="120"/>
        <w:rPr>
          <w:rFonts w:ascii="Baskerville Old Face" w:hAnsi="Baskerville Old Face"/>
          <w:sz w:val="24"/>
          <w:szCs w:val="24"/>
        </w:rPr>
      </w:pPr>
      <w:r w:rsidRPr="00192227">
        <w:rPr>
          <w:rFonts w:ascii="Baskerville Old Face" w:hAnsi="Baskerville Old Face"/>
          <w:sz w:val="24"/>
          <w:szCs w:val="24"/>
        </w:rPr>
        <w:t xml:space="preserve"> </w:t>
      </w:r>
    </w:p>
    <w:p w14:paraId="60FB7C92" w14:textId="0D7A57AF" w:rsidR="00846437" w:rsidRPr="00192227" w:rsidRDefault="00B23AA4" w:rsidP="00192227">
      <w:pPr>
        <w:pStyle w:val="ListBullet"/>
        <w:numPr>
          <w:ilvl w:val="0"/>
          <w:numId w:val="0"/>
        </w:numPr>
        <w:rPr>
          <w:rFonts w:ascii="Baskerville Old Face" w:hAnsi="Baskerville Old Face"/>
          <w:sz w:val="24"/>
          <w:szCs w:val="24"/>
        </w:rPr>
      </w:pPr>
      <w:r w:rsidRPr="00192227">
        <w:rPr>
          <w:rFonts w:ascii="Baskerville Old Face" w:hAnsi="Baskerville Old Face"/>
          <w:color w:val="000000" w:themeColor="text1"/>
          <w:sz w:val="24"/>
          <w:szCs w:val="24"/>
        </w:rPr>
        <w:t>Table 3</w:t>
      </w:r>
      <w:r w:rsidR="000765B7" w:rsidRPr="00192227">
        <w:rPr>
          <w:rFonts w:ascii="Baskerville Old Face" w:hAnsi="Baskerville Old Face"/>
          <w:color w:val="000000" w:themeColor="text1"/>
          <w:sz w:val="24"/>
          <w:szCs w:val="24"/>
        </w:rPr>
        <w:t xml:space="preserve"> Student SAE Involvement by Primar</w:t>
      </w:r>
      <w:r w:rsidR="006F005D" w:rsidRPr="00192227">
        <w:rPr>
          <w:rFonts w:ascii="Baskerville Old Face" w:hAnsi="Baskerville Old Face"/>
          <w:color w:val="000000" w:themeColor="text1"/>
          <w:sz w:val="24"/>
          <w:szCs w:val="24"/>
        </w:rPr>
        <w:t>y SAE Type (n=</w:t>
      </w:r>
      <w:r w:rsidR="00AC7272" w:rsidRPr="00192227">
        <w:rPr>
          <w:rFonts w:ascii="Baskerville Old Face" w:hAnsi="Baskerville Old Face"/>
          <w:color w:val="000000" w:themeColor="text1"/>
          <w:sz w:val="24"/>
          <w:szCs w:val="24"/>
        </w:rPr>
        <w:t>4,</w:t>
      </w:r>
      <w:r w:rsidR="006267F1">
        <w:rPr>
          <w:rFonts w:ascii="Baskerville Old Face" w:hAnsi="Baskerville Old Face"/>
          <w:color w:val="000000" w:themeColor="text1"/>
          <w:sz w:val="24"/>
          <w:szCs w:val="24"/>
        </w:rPr>
        <w:t>423</w:t>
      </w:r>
      <w:r w:rsidR="000765B7" w:rsidRPr="00192227">
        <w:rPr>
          <w:rFonts w:ascii="Baskerville Old Face" w:hAnsi="Baskerville Old Face"/>
          <w:color w:val="000000" w:themeColor="text1"/>
          <w:sz w:val="24"/>
          <w:szCs w:val="24"/>
        </w:rPr>
        <w:t>)</w:t>
      </w:r>
    </w:p>
    <w:tbl>
      <w:tblPr>
        <w:tblW w:w="9444" w:type="dxa"/>
        <w:tblInd w:w="108" w:type="dxa"/>
        <w:tblLayout w:type="fixed"/>
        <w:tblLook w:val="04A0" w:firstRow="1" w:lastRow="0" w:firstColumn="1" w:lastColumn="0" w:noHBand="0" w:noVBand="1"/>
      </w:tblPr>
      <w:tblGrid>
        <w:gridCol w:w="4302"/>
        <w:gridCol w:w="1530"/>
        <w:gridCol w:w="828"/>
        <w:gridCol w:w="2784"/>
      </w:tblGrid>
      <w:tr w:rsidR="00130909" w:rsidRPr="00192227" w14:paraId="798C7938" w14:textId="77777777" w:rsidTr="00394FF5">
        <w:trPr>
          <w:trHeight w:val="560"/>
        </w:trPr>
        <w:tc>
          <w:tcPr>
            <w:tcW w:w="4302" w:type="dxa"/>
            <w:tcBorders>
              <w:top w:val="single" w:sz="8" w:space="0" w:color="auto"/>
              <w:left w:val="nil"/>
              <w:bottom w:val="single" w:sz="8" w:space="0" w:color="auto"/>
              <w:right w:val="nil"/>
            </w:tcBorders>
            <w:shd w:val="clear" w:color="auto" w:fill="auto"/>
            <w:noWrap/>
            <w:vAlign w:val="center"/>
            <w:hideMark/>
          </w:tcPr>
          <w:p w14:paraId="588DFFFA" w14:textId="77777777" w:rsidR="00130909" w:rsidRPr="00192227" w:rsidRDefault="00130909" w:rsidP="00192227">
            <w:pPr>
              <w:rPr>
                <w:rFonts w:asciiTheme="minorHAnsi" w:eastAsia="Times New Roman" w:hAnsiTheme="minorHAnsi"/>
                <w:color w:val="000000"/>
              </w:rPr>
            </w:pPr>
            <w:r w:rsidRPr="00192227">
              <w:rPr>
                <w:rFonts w:asciiTheme="minorHAnsi" w:eastAsia="Times New Roman" w:hAnsiTheme="minorHAnsi"/>
                <w:color w:val="000000"/>
              </w:rPr>
              <w:t>SAE Descriptive Area</w:t>
            </w:r>
          </w:p>
        </w:tc>
        <w:tc>
          <w:tcPr>
            <w:tcW w:w="1530" w:type="dxa"/>
            <w:tcBorders>
              <w:top w:val="single" w:sz="8" w:space="0" w:color="auto"/>
              <w:left w:val="nil"/>
              <w:bottom w:val="single" w:sz="8" w:space="0" w:color="auto"/>
              <w:right w:val="nil"/>
            </w:tcBorders>
            <w:shd w:val="clear" w:color="auto" w:fill="auto"/>
            <w:noWrap/>
            <w:vAlign w:val="center"/>
            <w:hideMark/>
          </w:tcPr>
          <w:p w14:paraId="4F8AC684" w14:textId="181FE304" w:rsidR="00130909" w:rsidRPr="00192227" w:rsidRDefault="00394FF5" w:rsidP="00192227">
            <w:pPr>
              <w:jc w:val="right"/>
              <w:rPr>
                <w:rFonts w:asciiTheme="minorHAnsi" w:eastAsia="Times New Roman" w:hAnsiTheme="minorHAnsi"/>
                <w:color w:val="000000"/>
              </w:rPr>
            </w:pPr>
            <w:r>
              <w:rPr>
                <w:rFonts w:asciiTheme="minorHAnsi" w:eastAsia="Times New Roman" w:hAnsiTheme="minorHAnsi"/>
                <w:color w:val="000000"/>
              </w:rPr>
              <w:t>2019</w:t>
            </w:r>
            <w:r w:rsidR="00BA5915" w:rsidRPr="00192227">
              <w:rPr>
                <w:rFonts w:asciiTheme="minorHAnsi" w:eastAsia="Times New Roman" w:hAnsiTheme="minorHAnsi"/>
                <w:color w:val="000000"/>
              </w:rPr>
              <w:t xml:space="preserve"> </w:t>
            </w:r>
            <w:r w:rsidR="005525CB" w:rsidRPr="00192227">
              <w:rPr>
                <w:rFonts w:asciiTheme="minorHAnsi" w:eastAsia="Times New Roman" w:hAnsiTheme="minorHAnsi"/>
                <w:color w:val="000000"/>
              </w:rPr>
              <w:t>SAE #</w:t>
            </w:r>
            <w:r w:rsidR="00130909" w:rsidRPr="00192227">
              <w:rPr>
                <w:rFonts w:asciiTheme="minorHAnsi" w:eastAsia="Times New Roman" w:hAnsiTheme="minorHAnsi"/>
                <w:color w:val="000000"/>
              </w:rPr>
              <w:t xml:space="preserve"> </w:t>
            </w:r>
          </w:p>
          <w:p w14:paraId="5AA2123B" w14:textId="19EE8CB9" w:rsidR="00130909" w:rsidRPr="00192227" w:rsidRDefault="00130909" w:rsidP="00192227">
            <w:pPr>
              <w:jc w:val="right"/>
              <w:rPr>
                <w:rFonts w:asciiTheme="minorHAnsi" w:eastAsia="Times New Roman" w:hAnsiTheme="minorHAnsi"/>
                <w:color w:val="000000"/>
                <w:sz w:val="20"/>
                <w:szCs w:val="20"/>
              </w:rPr>
            </w:pPr>
            <w:r w:rsidRPr="00192227">
              <w:rPr>
                <w:rFonts w:asciiTheme="minorHAnsi" w:eastAsia="Times New Roman" w:hAnsiTheme="minorHAnsi"/>
                <w:color w:val="000000"/>
                <w:sz w:val="20"/>
                <w:szCs w:val="20"/>
              </w:rPr>
              <w:t>(Per Program)</w:t>
            </w:r>
          </w:p>
        </w:tc>
        <w:tc>
          <w:tcPr>
            <w:tcW w:w="828" w:type="dxa"/>
            <w:tcBorders>
              <w:top w:val="single" w:sz="8" w:space="0" w:color="auto"/>
              <w:left w:val="nil"/>
              <w:bottom w:val="single" w:sz="8" w:space="0" w:color="auto"/>
              <w:right w:val="nil"/>
            </w:tcBorders>
            <w:vAlign w:val="center"/>
          </w:tcPr>
          <w:p w14:paraId="0D2F0C00" w14:textId="268D66BB" w:rsidR="00130909" w:rsidRPr="00192227" w:rsidRDefault="00130909" w:rsidP="00192227">
            <w:pPr>
              <w:jc w:val="center"/>
              <w:rPr>
                <w:rFonts w:asciiTheme="minorHAnsi" w:eastAsia="Times New Roman" w:hAnsiTheme="minorHAnsi"/>
                <w:color w:val="000000"/>
              </w:rPr>
            </w:pPr>
            <w:r w:rsidRPr="00192227">
              <w:rPr>
                <w:rFonts w:asciiTheme="minorHAnsi" w:eastAsia="Times New Roman" w:hAnsiTheme="minorHAnsi"/>
                <w:color w:val="000000"/>
              </w:rPr>
              <w:t>%</w:t>
            </w:r>
          </w:p>
        </w:tc>
        <w:tc>
          <w:tcPr>
            <w:tcW w:w="2784" w:type="dxa"/>
            <w:tcBorders>
              <w:top w:val="single" w:sz="8" w:space="0" w:color="auto"/>
              <w:left w:val="nil"/>
              <w:bottom w:val="single" w:sz="8" w:space="0" w:color="auto"/>
              <w:right w:val="nil"/>
            </w:tcBorders>
            <w:shd w:val="clear" w:color="auto" w:fill="auto"/>
            <w:noWrap/>
            <w:vAlign w:val="center"/>
            <w:hideMark/>
          </w:tcPr>
          <w:p w14:paraId="683064F4" w14:textId="244D77BA" w:rsidR="00130909" w:rsidRPr="006267F1" w:rsidRDefault="005525CB" w:rsidP="006267F1">
            <w:pPr>
              <w:jc w:val="center"/>
              <w:rPr>
                <w:rFonts w:asciiTheme="minorHAnsi" w:eastAsia="Times New Roman" w:hAnsiTheme="minorHAnsi"/>
                <w:color w:val="000000"/>
                <w:sz w:val="20"/>
                <w:szCs w:val="20"/>
              </w:rPr>
            </w:pPr>
            <w:r w:rsidRPr="00192227">
              <w:rPr>
                <w:rFonts w:asciiTheme="minorHAnsi" w:eastAsia="Times New Roman" w:hAnsiTheme="minorHAnsi"/>
                <w:color w:val="000000"/>
              </w:rPr>
              <w:t xml:space="preserve">SAE </w:t>
            </w:r>
            <w:r w:rsidR="00130909" w:rsidRPr="00192227">
              <w:rPr>
                <w:rFonts w:asciiTheme="minorHAnsi" w:eastAsia="Times New Roman" w:hAnsiTheme="minorHAnsi"/>
                <w:color w:val="000000"/>
              </w:rPr>
              <w:t xml:space="preserve">National Estimate </w:t>
            </w:r>
            <w:r w:rsidR="00F82DB4" w:rsidRPr="00192227">
              <w:rPr>
                <w:rFonts w:asciiTheme="minorHAnsi" w:eastAsia="Times New Roman" w:hAnsiTheme="minorHAnsi"/>
                <w:color w:val="000000"/>
                <w:sz w:val="20"/>
                <w:szCs w:val="20"/>
              </w:rPr>
              <w:t>(</w:t>
            </w:r>
            <w:r w:rsidR="00761D62" w:rsidRPr="00192227">
              <w:rPr>
                <w:rFonts w:asciiTheme="minorHAnsi" w:eastAsia="Times New Roman" w:hAnsiTheme="minorHAnsi"/>
                <w:color w:val="000000"/>
                <w:sz w:val="20"/>
                <w:szCs w:val="20"/>
              </w:rPr>
              <w:t>N=</w:t>
            </w:r>
            <w:r w:rsidR="00C62E18" w:rsidRPr="00192227">
              <w:rPr>
                <w:rFonts w:asciiTheme="minorHAnsi" w:eastAsia="Times New Roman" w:hAnsiTheme="minorHAnsi"/>
                <w:color w:val="000000"/>
                <w:sz w:val="20"/>
                <w:szCs w:val="20"/>
              </w:rPr>
              <w:t>8,</w:t>
            </w:r>
            <w:r w:rsidR="006267F1">
              <w:rPr>
                <w:rFonts w:asciiTheme="minorHAnsi" w:eastAsia="Times New Roman" w:hAnsiTheme="minorHAnsi"/>
                <w:color w:val="000000"/>
                <w:sz w:val="20"/>
                <w:szCs w:val="20"/>
              </w:rPr>
              <w:t xml:space="preserve">739 </w:t>
            </w:r>
            <w:r w:rsidR="003452DC" w:rsidRPr="00192227">
              <w:rPr>
                <w:rFonts w:asciiTheme="minorHAnsi" w:eastAsia="Times New Roman" w:hAnsiTheme="minorHAnsi"/>
                <w:color w:val="000000"/>
                <w:sz w:val="20"/>
                <w:szCs w:val="20"/>
              </w:rPr>
              <w:t>Programs</w:t>
            </w:r>
            <w:r w:rsidR="00130909" w:rsidRPr="00192227">
              <w:rPr>
                <w:rFonts w:asciiTheme="minorHAnsi" w:eastAsia="Times New Roman" w:hAnsiTheme="minorHAnsi"/>
                <w:color w:val="000000"/>
                <w:sz w:val="20"/>
                <w:szCs w:val="20"/>
              </w:rPr>
              <w:t>)</w:t>
            </w:r>
          </w:p>
        </w:tc>
      </w:tr>
      <w:tr w:rsidR="00394FF5" w:rsidRPr="00192227" w14:paraId="53B504BA" w14:textId="77777777" w:rsidTr="00394FF5">
        <w:trPr>
          <w:trHeight w:val="320"/>
        </w:trPr>
        <w:tc>
          <w:tcPr>
            <w:tcW w:w="4302" w:type="dxa"/>
            <w:tcBorders>
              <w:top w:val="nil"/>
              <w:left w:val="nil"/>
              <w:bottom w:val="nil"/>
              <w:right w:val="nil"/>
            </w:tcBorders>
            <w:shd w:val="clear" w:color="auto" w:fill="auto"/>
            <w:noWrap/>
            <w:vAlign w:val="center"/>
            <w:hideMark/>
          </w:tcPr>
          <w:p w14:paraId="21C31584" w14:textId="7F2E8D9E" w:rsidR="00394FF5" w:rsidRPr="00192227" w:rsidRDefault="00394FF5" w:rsidP="00394FF5">
            <w:pPr>
              <w:rPr>
                <w:rFonts w:asciiTheme="minorHAnsi" w:eastAsia="Times New Roman" w:hAnsiTheme="minorHAnsi"/>
                <w:color w:val="000000"/>
              </w:rPr>
            </w:pPr>
            <w:r w:rsidRPr="00192227">
              <w:rPr>
                <w:rFonts w:asciiTheme="minorHAnsi" w:eastAsia="Times New Roman" w:hAnsiTheme="minorHAnsi"/>
                <w:color w:val="000000"/>
              </w:rPr>
              <w:t>Entrepreneurship SAE</w:t>
            </w:r>
            <w:r>
              <w:rPr>
                <w:rFonts w:asciiTheme="minorHAnsi" w:eastAsia="Times New Roman" w:hAnsiTheme="minorHAnsi"/>
                <w:color w:val="000000"/>
              </w:rPr>
              <w:t xml:space="preserve"> </w:t>
            </w:r>
            <w:r w:rsidRPr="00394FF5">
              <w:rPr>
                <w:rFonts w:asciiTheme="minorHAnsi" w:eastAsia="Times New Roman" w:hAnsiTheme="minorHAnsi"/>
                <w:i/>
                <w:iCs/>
                <w:color w:val="000000"/>
              </w:rPr>
              <w:t>(Self-Employment)</w:t>
            </w:r>
          </w:p>
          <w:p w14:paraId="68515C95" w14:textId="4844C053" w:rsidR="00394FF5" w:rsidRPr="00192227" w:rsidRDefault="00394FF5" w:rsidP="00394FF5">
            <w:pPr>
              <w:rPr>
                <w:rFonts w:asciiTheme="minorHAnsi" w:eastAsia="Times New Roman" w:hAnsiTheme="minorHAnsi"/>
                <w:color w:val="000000"/>
              </w:rPr>
            </w:pPr>
          </w:p>
        </w:tc>
        <w:tc>
          <w:tcPr>
            <w:tcW w:w="1530" w:type="dxa"/>
            <w:tcBorders>
              <w:top w:val="nil"/>
              <w:left w:val="nil"/>
              <w:bottom w:val="nil"/>
              <w:right w:val="nil"/>
            </w:tcBorders>
            <w:shd w:val="clear" w:color="auto" w:fill="auto"/>
            <w:noWrap/>
            <w:vAlign w:val="center"/>
            <w:hideMark/>
          </w:tcPr>
          <w:p w14:paraId="1459B9F7" w14:textId="5FFA086A" w:rsidR="00394FF5" w:rsidRPr="00192227" w:rsidRDefault="00394FF5" w:rsidP="00394FF5">
            <w:pPr>
              <w:jc w:val="center"/>
              <w:rPr>
                <w:rFonts w:asciiTheme="minorHAnsi" w:eastAsia="Times New Roman" w:hAnsiTheme="minorHAnsi"/>
                <w:color w:val="000000"/>
              </w:rPr>
            </w:pPr>
            <w:r>
              <w:rPr>
                <w:rFonts w:asciiTheme="minorHAnsi" w:eastAsia="Times New Roman" w:hAnsiTheme="minorHAnsi"/>
                <w:color w:val="000000"/>
              </w:rPr>
              <w:t>28</w:t>
            </w:r>
          </w:p>
        </w:tc>
        <w:tc>
          <w:tcPr>
            <w:tcW w:w="828" w:type="dxa"/>
            <w:tcBorders>
              <w:top w:val="nil"/>
              <w:left w:val="nil"/>
              <w:bottom w:val="nil"/>
              <w:right w:val="nil"/>
            </w:tcBorders>
            <w:vAlign w:val="center"/>
          </w:tcPr>
          <w:p w14:paraId="5C7EFCF4" w14:textId="01306BAA" w:rsidR="00394FF5" w:rsidRPr="00192227" w:rsidRDefault="00394FF5" w:rsidP="00394FF5">
            <w:pPr>
              <w:jc w:val="center"/>
              <w:rPr>
                <w:rFonts w:asciiTheme="minorHAnsi" w:eastAsia="Times New Roman" w:hAnsiTheme="minorHAnsi"/>
                <w:color w:val="000000"/>
              </w:rPr>
            </w:pPr>
            <w:r>
              <w:rPr>
                <w:rFonts w:asciiTheme="minorHAnsi" w:eastAsia="Times New Roman" w:hAnsiTheme="minorHAnsi"/>
                <w:color w:val="000000"/>
              </w:rPr>
              <w:t>36</w:t>
            </w:r>
            <w:r w:rsidRPr="00192227">
              <w:rPr>
                <w:rFonts w:asciiTheme="minorHAnsi" w:eastAsia="Times New Roman" w:hAnsiTheme="minorHAnsi"/>
                <w:color w:val="000000"/>
              </w:rPr>
              <w:t>%</w:t>
            </w:r>
          </w:p>
        </w:tc>
        <w:tc>
          <w:tcPr>
            <w:tcW w:w="2784" w:type="dxa"/>
            <w:tcBorders>
              <w:top w:val="nil"/>
              <w:left w:val="nil"/>
              <w:bottom w:val="nil"/>
              <w:right w:val="nil"/>
            </w:tcBorders>
            <w:shd w:val="clear" w:color="auto" w:fill="auto"/>
            <w:noWrap/>
            <w:hideMark/>
          </w:tcPr>
          <w:p w14:paraId="1E5527E8" w14:textId="02288551" w:rsidR="00394FF5" w:rsidRPr="00192227" w:rsidRDefault="00394FF5" w:rsidP="00394FF5">
            <w:pPr>
              <w:jc w:val="center"/>
              <w:rPr>
                <w:rFonts w:asciiTheme="minorHAnsi" w:eastAsia="Times New Roman" w:hAnsiTheme="minorHAnsi"/>
                <w:color w:val="000000"/>
              </w:rPr>
            </w:pPr>
            <w:r w:rsidRPr="00394FF5">
              <w:rPr>
                <w:rFonts w:asciiTheme="minorHAnsi" w:eastAsia="Times New Roman" w:hAnsiTheme="minorHAnsi"/>
                <w:color w:val="000000"/>
              </w:rPr>
              <w:t xml:space="preserve"> 243,225 </w:t>
            </w:r>
          </w:p>
        </w:tc>
      </w:tr>
      <w:tr w:rsidR="00394FF5" w:rsidRPr="00192227" w14:paraId="3D41863B" w14:textId="77777777" w:rsidTr="00394FF5">
        <w:trPr>
          <w:trHeight w:val="320"/>
        </w:trPr>
        <w:tc>
          <w:tcPr>
            <w:tcW w:w="4302" w:type="dxa"/>
            <w:tcBorders>
              <w:top w:val="nil"/>
              <w:left w:val="nil"/>
              <w:right w:val="nil"/>
            </w:tcBorders>
            <w:shd w:val="clear" w:color="auto" w:fill="auto"/>
            <w:noWrap/>
            <w:vAlign w:val="center"/>
          </w:tcPr>
          <w:p w14:paraId="1662B191" w14:textId="5E20D7E7" w:rsidR="00394FF5" w:rsidRPr="00192227" w:rsidRDefault="00394FF5" w:rsidP="00394FF5">
            <w:pPr>
              <w:rPr>
                <w:rFonts w:asciiTheme="minorHAnsi" w:eastAsia="Times New Roman" w:hAnsiTheme="minorHAnsi"/>
                <w:color w:val="000000"/>
              </w:rPr>
            </w:pPr>
            <w:r w:rsidRPr="00192227">
              <w:rPr>
                <w:rFonts w:asciiTheme="minorHAnsi" w:eastAsia="Times New Roman" w:hAnsiTheme="minorHAnsi"/>
                <w:color w:val="000000"/>
              </w:rPr>
              <w:t>Placement SAE</w:t>
            </w:r>
            <w:r>
              <w:rPr>
                <w:rFonts w:asciiTheme="minorHAnsi" w:eastAsia="Times New Roman" w:hAnsiTheme="minorHAnsi"/>
                <w:color w:val="000000"/>
              </w:rPr>
              <w:t xml:space="preserve"> </w:t>
            </w:r>
            <w:r w:rsidRPr="00394FF5">
              <w:rPr>
                <w:rFonts w:asciiTheme="minorHAnsi" w:eastAsia="Times New Roman" w:hAnsiTheme="minorHAnsi"/>
                <w:i/>
                <w:iCs/>
                <w:color w:val="000000"/>
              </w:rPr>
              <w:t>(Work Experience)</w:t>
            </w:r>
          </w:p>
        </w:tc>
        <w:tc>
          <w:tcPr>
            <w:tcW w:w="1530" w:type="dxa"/>
            <w:tcBorders>
              <w:top w:val="nil"/>
              <w:left w:val="nil"/>
              <w:right w:val="nil"/>
            </w:tcBorders>
            <w:shd w:val="clear" w:color="auto" w:fill="auto"/>
            <w:noWrap/>
            <w:vAlign w:val="center"/>
          </w:tcPr>
          <w:p w14:paraId="6342C9E9" w14:textId="04815398" w:rsidR="00394FF5" w:rsidRPr="00192227" w:rsidRDefault="00394FF5" w:rsidP="00394FF5">
            <w:pPr>
              <w:jc w:val="center"/>
              <w:rPr>
                <w:rFonts w:asciiTheme="minorHAnsi" w:eastAsia="Times New Roman" w:hAnsiTheme="minorHAnsi"/>
                <w:color w:val="000000"/>
              </w:rPr>
            </w:pPr>
            <w:r>
              <w:rPr>
                <w:rFonts w:asciiTheme="minorHAnsi" w:eastAsia="Times New Roman" w:hAnsiTheme="minorHAnsi"/>
                <w:color w:val="000000"/>
              </w:rPr>
              <w:t>42</w:t>
            </w:r>
          </w:p>
        </w:tc>
        <w:tc>
          <w:tcPr>
            <w:tcW w:w="828" w:type="dxa"/>
            <w:tcBorders>
              <w:top w:val="nil"/>
              <w:left w:val="nil"/>
              <w:right w:val="nil"/>
            </w:tcBorders>
            <w:vAlign w:val="center"/>
          </w:tcPr>
          <w:p w14:paraId="3965B220" w14:textId="296BAA8D" w:rsidR="00394FF5" w:rsidRPr="00192227" w:rsidRDefault="00394FF5" w:rsidP="00394FF5">
            <w:pPr>
              <w:jc w:val="center"/>
              <w:rPr>
                <w:rFonts w:asciiTheme="minorHAnsi" w:eastAsia="Times New Roman" w:hAnsiTheme="minorHAnsi"/>
                <w:color w:val="000000"/>
              </w:rPr>
            </w:pPr>
            <w:r>
              <w:rPr>
                <w:rFonts w:asciiTheme="minorHAnsi" w:eastAsia="Times New Roman" w:hAnsiTheme="minorHAnsi"/>
                <w:color w:val="000000"/>
              </w:rPr>
              <w:t>54</w:t>
            </w:r>
            <w:r w:rsidRPr="00192227">
              <w:rPr>
                <w:rFonts w:asciiTheme="minorHAnsi" w:eastAsia="Times New Roman" w:hAnsiTheme="minorHAnsi"/>
                <w:color w:val="000000"/>
              </w:rPr>
              <w:t>%</w:t>
            </w:r>
          </w:p>
        </w:tc>
        <w:tc>
          <w:tcPr>
            <w:tcW w:w="2784" w:type="dxa"/>
            <w:tcBorders>
              <w:top w:val="nil"/>
              <w:left w:val="nil"/>
              <w:right w:val="nil"/>
            </w:tcBorders>
            <w:shd w:val="clear" w:color="auto" w:fill="auto"/>
            <w:noWrap/>
          </w:tcPr>
          <w:p w14:paraId="4AADC5F5" w14:textId="7B1CED87" w:rsidR="00394FF5" w:rsidRPr="00192227" w:rsidRDefault="00394FF5" w:rsidP="00394FF5">
            <w:pPr>
              <w:jc w:val="center"/>
              <w:rPr>
                <w:rFonts w:asciiTheme="minorHAnsi" w:eastAsia="Times New Roman" w:hAnsiTheme="minorHAnsi"/>
                <w:color w:val="000000"/>
              </w:rPr>
            </w:pPr>
            <w:r w:rsidRPr="00394FF5">
              <w:rPr>
                <w:rFonts w:asciiTheme="minorHAnsi" w:eastAsia="Times New Roman" w:hAnsiTheme="minorHAnsi"/>
                <w:color w:val="000000"/>
              </w:rPr>
              <w:t xml:space="preserve"> 365,222 </w:t>
            </w:r>
          </w:p>
        </w:tc>
      </w:tr>
      <w:tr w:rsidR="00394FF5" w:rsidRPr="00192227" w14:paraId="2C881E17" w14:textId="77777777" w:rsidTr="00394FF5">
        <w:trPr>
          <w:trHeight w:val="320"/>
        </w:trPr>
        <w:tc>
          <w:tcPr>
            <w:tcW w:w="4302" w:type="dxa"/>
            <w:tcBorders>
              <w:top w:val="nil"/>
              <w:left w:val="nil"/>
              <w:bottom w:val="single" w:sz="4" w:space="0" w:color="auto"/>
              <w:right w:val="nil"/>
            </w:tcBorders>
            <w:shd w:val="clear" w:color="auto" w:fill="auto"/>
            <w:noWrap/>
            <w:vAlign w:val="center"/>
          </w:tcPr>
          <w:p w14:paraId="0FF119DB" w14:textId="60B69AA5" w:rsidR="00394FF5" w:rsidRPr="00192227" w:rsidRDefault="00394FF5" w:rsidP="00394FF5">
            <w:pPr>
              <w:rPr>
                <w:rFonts w:asciiTheme="minorHAnsi" w:eastAsia="Times New Roman" w:hAnsiTheme="minorHAnsi"/>
                <w:color w:val="000000"/>
              </w:rPr>
            </w:pPr>
            <w:r w:rsidRPr="00192227">
              <w:rPr>
                <w:rFonts w:asciiTheme="minorHAnsi" w:eastAsia="Times New Roman" w:hAnsiTheme="minorHAnsi"/>
                <w:color w:val="000000"/>
              </w:rPr>
              <w:t>Research SAE</w:t>
            </w:r>
            <w:r>
              <w:rPr>
                <w:rFonts w:asciiTheme="minorHAnsi" w:eastAsia="Times New Roman" w:hAnsiTheme="minorHAnsi"/>
                <w:color w:val="000000"/>
              </w:rPr>
              <w:t xml:space="preserve"> </w:t>
            </w:r>
            <w:r w:rsidRPr="00394FF5">
              <w:rPr>
                <w:rFonts w:asciiTheme="minorHAnsi" w:eastAsia="Times New Roman" w:hAnsiTheme="minorHAnsi"/>
                <w:i/>
                <w:iCs/>
                <w:color w:val="000000"/>
              </w:rPr>
              <w:t>(</w:t>
            </w:r>
            <w:r>
              <w:rPr>
                <w:rFonts w:asciiTheme="minorHAnsi" w:eastAsia="Times New Roman" w:hAnsiTheme="minorHAnsi"/>
                <w:i/>
                <w:iCs/>
                <w:color w:val="000000"/>
              </w:rPr>
              <w:t>Investigation or Other</w:t>
            </w:r>
            <w:r w:rsidRPr="00394FF5">
              <w:rPr>
                <w:rFonts w:asciiTheme="minorHAnsi" w:eastAsia="Times New Roman" w:hAnsiTheme="minorHAnsi"/>
                <w:i/>
                <w:iCs/>
                <w:color w:val="000000"/>
              </w:rPr>
              <w:t>)</w:t>
            </w:r>
          </w:p>
        </w:tc>
        <w:tc>
          <w:tcPr>
            <w:tcW w:w="1530" w:type="dxa"/>
            <w:tcBorders>
              <w:top w:val="nil"/>
              <w:left w:val="nil"/>
              <w:bottom w:val="single" w:sz="4" w:space="0" w:color="auto"/>
              <w:right w:val="nil"/>
            </w:tcBorders>
            <w:shd w:val="clear" w:color="auto" w:fill="auto"/>
            <w:noWrap/>
            <w:vAlign w:val="center"/>
          </w:tcPr>
          <w:p w14:paraId="2F799D1C" w14:textId="32DFC320" w:rsidR="00394FF5" w:rsidRPr="00192227" w:rsidRDefault="00394FF5" w:rsidP="00394FF5">
            <w:pPr>
              <w:jc w:val="center"/>
              <w:rPr>
                <w:rFonts w:asciiTheme="minorHAnsi" w:eastAsia="Times New Roman" w:hAnsiTheme="minorHAnsi"/>
                <w:color w:val="000000"/>
              </w:rPr>
            </w:pPr>
            <w:r>
              <w:rPr>
                <w:rFonts w:asciiTheme="minorHAnsi" w:eastAsia="Times New Roman" w:hAnsiTheme="minorHAnsi"/>
                <w:color w:val="000000"/>
              </w:rPr>
              <w:t>8</w:t>
            </w:r>
          </w:p>
        </w:tc>
        <w:tc>
          <w:tcPr>
            <w:tcW w:w="828" w:type="dxa"/>
            <w:tcBorders>
              <w:top w:val="nil"/>
              <w:left w:val="nil"/>
              <w:bottom w:val="single" w:sz="4" w:space="0" w:color="auto"/>
              <w:right w:val="nil"/>
            </w:tcBorders>
            <w:vAlign w:val="center"/>
          </w:tcPr>
          <w:p w14:paraId="678CF7A3" w14:textId="72E1D6A1" w:rsidR="00394FF5" w:rsidRPr="00192227" w:rsidRDefault="00394FF5" w:rsidP="00394FF5">
            <w:pPr>
              <w:jc w:val="center"/>
              <w:rPr>
                <w:rFonts w:asciiTheme="minorHAnsi" w:eastAsia="Times New Roman" w:hAnsiTheme="minorHAnsi"/>
                <w:color w:val="000000"/>
              </w:rPr>
            </w:pPr>
            <w:r>
              <w:rPr>
                <w:rFonts w:asciiTheme="minorHAnsi" w:eastAsia="Times New Roman" w:hAnsiTheme="minorHAnsi"/>
                <w:color w:val="000000"/>
              </w:rPr>
              <w:t>11</w:t>
            </w:r>
            <w:r w:rsidRPr="00192227">
              <w:rPr>
                <w:rFonts w:asciiTheme="minorHAnsi" w:eastAsia="Times New Roman" w:hAnsiTheme="minorHAnsi"/>
                <w:color w:val="000000"/>
              </w:rPr>
              <w:t>%</w:t>
            </w:r>
          </w:p>
        </w:tc>
        <w:tc>
          <w:tcPr>
            <w:tcW w:w="2784" w:type="dxa"/>
            <w:tcBorders>
              <w:top w:val="nil"/>
              <w:left w:val="nil"/>
              <w:bottom w:val="single" w:sz="4" w:space="0" w:color="auto"/>
              <w:right w:val="nil"/>
            </w:tcBorders>
            <w:shd w:val="clear" w:color="auto" w:fill="auto"/>
            <w:noWrap/>
          </w:tcPr>
          <w:p w14:paraId="26051876" w14:textId="3B1897F7" w:rsidR="00394FF5" w:rsidRPr="00394FF5" w:rsidRDefault="00394FF5" w:rsidP="00394FF5">
            <w:pPr>
              <w:jc w:val="center"/>
              <w:rPr>
                <w:rFonts w:asciiTheme="minorHAnsi" w:eastAsia="Times New Roman" w:hAnsiTheme="minorHAnsi"/>
                <w:color w:val="000000"/>
              </w:rPr>
            </w:pPr>
            <w:r w:rsidRPr="00394FF5">
              <w:rPr>
                <w:rFonts w:asciiTheme="minorHAnsi" w:eastAsia="Times New Roman" w:hAnsiTheme="minorHAnsi"/>
                <w:color w:val="000000"/>
              </w:rPr>
              <w:t xml:space="preserve"> 72,160 </w:t>
            </w:r>
          </w:p>
        </w:tc>
      </w:tr>
      <w:tr w:rsidR="00394FF5" w:rsidRPr="00192227" w14:paraId="45F9BCD3" w14:textId="77777777" w:rsidTr="00685D8F">
        <w:trPr>
          <w:trHeight w:val="320"/>
        </w:trPr>
        <w:tc>
          <w:tcPr>
            <w:tcW w:w="4302" w:type="dxa"/>
            <w:tcBorders>
              <w:top w:val="single" w:sz="4" w:space="0" w:color="auto"/>
              <w:left w:val="nil"/>
              <w:right w:val="nil"/>
            </w:tcBorders>
            <w:shd w:val="clear" w:color="auto" w:fill="auto"/>
            <w:noWrap/>
            <w:vAlign w:val="center"/>
          </w:tcPr>
          <w:p w14:paraId="586F4F2D" w14:textId="3FE8EC90" w:rsidR="00394FF5" w:rsidRPr="00192227" w:rsidRDefault="00394FF5" w:rsidP="00394FF5">
            <w:pPr>
              <w:jc w:val="right"/>
              <w:rPr>
                <w:rFonts w:asciiTheme="minorHAnsi" w:eastAsia="Times New Roman" w:hAnsiTheme="minorHAnsi"/>
                <w:color w:val="000000"/>
              </w:rPr>
            </w:pPr>
            <w:r w:rsidRPr="00192227">
              <w:rPr>
                <w:rFonts w:asciiTheme="minorHAnsi" w:eastAsia="Times New Roman" w:hAnsiTheme="minorHAnsi"/>
                <w:color w:val="000000"/>
              </w:rPr>
              <w:t>Total Immersion SAEs</w:t>
            </w:r>
          </w:p>
        </w:tc>
        <w:tc>
          <w:tcPr>
            <w:tcW w:w="1530" w:type="dxa"/>
            <w:tcBorders>
              <w:top w:val="single" w:sz="4" w:space="0" w:color="auto"/>
              <w:left w:val="nil"/>
              <w:right w:val="nil"/>
            </w:tcBorders>
            <w:shd w:val="clear" w:color="auto" w:fill="auto"/>
            <w:noWrap/>
            <w:vAlign w:val="center"/>
          </w:tcPr>
          <w:p w14:paraId="413D5EAB" w14:textId="13A08EAF" w:rsidR="00394FF5" w:rsidRPr="00192227" w:rsidRDefault="00394FF5" w:rsidP="00394FF5">
            <w:pPr>
              <w:jc w:val="center"/>
              <w:rPr>
                <w:rFonts w:asciiTheme="minorHAnsi" w:eastAsia="Times New Roman" w:hAnsiTheme="minorHAnsi"/>
                <w:color w:val="000000"/>
              </w:rPr>
            </w:pPr>
            <w:r>
              <w:rPr>
                <w:rFonts w:asciiTheme="minorHAnsi" w:eastAsia="Times New Roman" w:hAnsiTheme="minorHAnsi"/>
                <w:color w:val="000000"/>
              </w:rPr>
              <w:t>78</w:t>
            </w:r>
          </w:p>
        </w:tc>
        <w:tc>
          <w:tcPr>
            <w:tcW w:w="828" w:type="dxa"/>
            <w:tcBorders>
              <w:top w:val="single" w:sz="4" w:space="0" w:color="auto"/>
              <w:left w:val="nil"/>
              <w:right w:val="nil"/>
            </w:tcBorders>
            <w:vAlign w:val="center"/>
          </w:tcPr>
          <w:p w14:paraId="03B8495A" w14:textId="58EA4DB2" w:rsidR="00394FF5" w:rsidRPr="00192227" w:rsidRDefault="00394FF5" w:rsidP="00394FF5">
            <w:pPr>
              <w:jc w:val="center"/>
              <w:rPr>
                <w:rFonts w:asciiTheme="minorHAnsi" w:eastAsia="Times New Roman" w:hAnsiTheme="minorHAnsi"/>
                <w:color w:val="000000"/>
              </w:rPr>
            </w:pPr>
          </w:p>
        </w:tc>
        <w:tc>
          <w:tcPr>
            <w:tcW w:w="2784" w:type="dxa"/>
            <w:tcBorders>
              <w:top w:val="single" w:sz="4" w:space="0" w:color="auto"/>
              <w:left w:val="nil"/>
              <w:right w:val="nil"/>
            </w:tcBorders>
            <w:shd w:val="clear" w:color="auto" w:fill="auto"/>
            <w:noWrap/>
          </w:tcPr>
          <w:p w14:paraId="57CA9122" w14:textId="1756878E" w:rsidR="00394FF5" w:rsidRPr="00192227" w:rsidRDefault="00394FF5" w:rsidP="00394FF5">
            <w:pPr>
              <w:jc w:val="center"/>
              <w:rPr>
                <w:rFonts w:asciiTheme="minorHAnsi" w:eastAsia="Times New Roman" w:hAnsiTheme="minorHAnsi"/>
                <w:color w:val="000000"/>
              </w:rPr>
            </w:pPr>
            <w:r w:rsidRPr="00394FF5">
              <w:rPr>
                <w:rFonts w:asciiTheme="minorHAnsi" w:eastAsia="Times New Roman" w:hAnsiTheme="minorHAnsi"/>
                <w:color w:val="000000"/>
              </w:rPr>
              <w:t xml:space="preserve"> 680,607 </w:t>
            </w:r>
          </w:p>
        </w:tc>
      </w:tr>
      <w:tr w:rsidR="00A87988" w:rsidRPr="00192227" w14:paraId="00C9F376" w14:textId="77777777" w:rsidTr="00394FF5">
        <w:trPr>
          <w:trHeight w:val="320"/>
        </w:trPr>
        <w:tc>
          <w:tcPr>
            <w:tcW w:w="4302" w:type="dxa"/>
            <w:tcBorders>
              <w:top w:val="nil"/>
              <w:left w:val="nil"/>
              <w:bottom w:val="single" w:sz="4" w:space="0" w:color="auto"/>
              <w:right w:val="nil"/>
            </w:tcBorders>
            <w:shd w:val="clear" w:color="auto" w:fill="auto"/>
            <w:noWrap/>
            <w:vAlign w:val="center"/>
            <w:hideMark/>
          </w:tcPr>
          <w:p w14:paraId="2B1B754B" w14:textId="41491F9F" w:rsidR="00A87988" w:rsidRPr="00192227" w:rsidRDefault="00EB3822" w:rsidP="00192227">
            <w:pPr>
              <w:rPr>
                <w:rFonts w:asciiTheme="minorHAnsi" w:eastAsia="Times New Roman" w:hAnsiTheme="minorHAnsi"/>
                <w:color w:val="000000"/>
              </w:rPr>
            </w:pPr>
            <w:r w:rsidRPr="00192227">
              <w:rPr>
                <w:rFonts w:asciiTheme="minorHAnsi" w:eastAsia="Times New Roman" w:hAnsiTheme="minorHAnsi"/>
                <w:color w:val="000000"/>
              </w:rPr>
              <w:t>Foundational</w:t>
            </w:r>
            <w:r w:rsidR="00A87988" w:rsidRPr="00192227">
              <w:rPr>
                <w:rFonts w:asciiTheme="minorHAnsi" w:eastAsia="Times New Roman" w:hAnsiTheme="minorHAnsi"/>
                <w:color w:val="000000"/>
              </w:rPr>
              <w:t xml:space="preserve"> SAE </w:t>
            </w:r>
          </w:p>
        </w:tc>
        <w:tc>
          <w:tcPr>
            <w:tcW w:w="1530" w:type="dxa"/>
            <w:tcBorders>
              <w:top w:val="nil"/>
              <w:left w:val="nil"/>
              <w:bottom w:val="single" w:sz="4" w:space="0" w:color="auto"/>
              <w:right w:val="nil"/>
            </w:tcBorders>
            <w:shd w:val="clear" w:color="auto" w:fill="auto"/>
            <w:noWrap/>
            <w:vAlign w:val="center"/>
            <w:hideMark/>
          </w:tcPr>
          <w:p w14:paraId="576F76BE" w14:textId="2DC43215" w:rsidR="00A87988" w:rsidRPr="00192227" w:rsidRDefault="00394FF5" w:rsidP="00192227">
            <w:pPr>
              <w:jc w:val="center"/>
              <w:rPr>
                <w:rFonts w:asciiTheme="minorHAnsi" w:eastAsia="Times New Roman" w:hAnsiTheme="minorHAnsi"/>
                <w:color w:val="000000"/>
              </w:rPr>
            </w:pPr>
            <w:r>
              <w:rPr>
                <w:rFonts w:asciiTheme="minorHAnsi" w:eastAsia="Times New Roman" w:hAnsiTheme="minorHAnsi"/>
                <w:color w:val="000000"/>
              </w:rPr>
              <w:t>22</w:t>
            </w:r>
          </w:p>
        </w:tc>
        <w:tc>
          <w:tcPr>
            <w:tcW w:w="828" w:type="dxa"/>
            <w:tcBorders>
              <w:top w:val="nil"/>
              <w:left w:val="nil"/>
              <w:bottom w:val="single" w:sz="4" w:space="0" w:color="auto"/>
              <w:right w:val="nil"/>
            </w:tcBorders>
            <w:vAlign w:val="center"/>
          </w:tcPr>
          <w:p w14:paraId="48ABDAE1" w14:textId="0A367235" w:rsidR="00A87988" w:rsidRPr="00192227" w:rsidRDefault="00A87988" w:rsidP="00192227">
            <w:pPr>
              <w:rPr>
                <w:rFonts w:asciiTheme="minorHAnsi" w:eastAsia="Times New Roman" w:hAnsiTheme="minorHAnsi"/>
                <w:color w:val="000000"/>
              </w:rPr>
            </w:pPr>
          </w:p>
        </w:tc>
        <w:tc>
          <w:tcPr>
            <w:tcW w:w="2784" w:type="dxa"/>
            <w:tcBorders>
              <w:top w:val="nil"/>
              <w:left w:val="nil"/>
              <w:bottom w:val="single" w:sz="4" w:space="0" w:color="auto"/>
              <w:right w:val="nil"/>
            </w:tcBorders>
            <w:shd w:val="clear" w:color="auto" w:fill="auto"/>
            <w:noWrap/>
            <w:vAlign w:val="bottom"/>
            <w:hideMark/>
          </w:tcPr>
          <w:p w14:paraId="15BF22CE" w14:textId="2B3A6E7F" w:rsidR="00A87988" w:rsidRPr="00192227" w:rsidRDefault="00394FF5" w:rsidP="00192227">
            <w:pPr>
              <w:jc w:val="center"/>
              <w:rPr>
                <w:rFonts w:asciiTheme="minorHAnsi" w:eastAsia="Times New Roman" w:hAnsiTheme="minorHAnsi"/>
                <w:color w:val="000000"/>
              </w:rPr>
            </w:pPr>
            <w:r>
              <w:rPr>
                <w:rFonts w:asciiTheme="minorHAnsi" w:hAnsiTheme="minorHAnsi"/>
                <w:color w:val="000000"/>
              </w:rPr>
              <w:t>191,631</w:t>
            </w:r>
          </w:p>
        </w:tc>
      </w:tr>
      <w:tr w:rsidR="00A87988" w:rsidRPr="00192227" w14:paraId="72F2AD94" w14:textId="77777777" w:rsidTr="00394FF5">
        <w:trPr>
          <w:trHeight w:val="320"/>
        </w:trPr>
        <w:tc>
          <w:tcPr>
            <w:tcW w:w="4302" w:type="dxa"/>
            <w:tcBorders>
              <w:top w:val="single" w:sz="4" w:space="0" w:color="auto"/>
              <w:left w:val="nil"/>
              <w:bottom w:val="single" w:sz="4" w:space="0" w:color="auto"/>
              <w:right w:val="nil"/>
            </w:tcBorders>
            <w:shd w:val="clear" w:color="auto" w:fill="auto"/>
            <w:noWrap/>
            <w:vAlign w:val="center"/>
            <w:hideMark/>
          </w:tcPr>
          <w:p w14:paraId="7DAB2DCD" w14:textId="77777777" w:rsidR="00A87988" w:rsidRPr="00192227" w:rsidRDefault="00A87988" w:rsidP="00192227">
            <w:pPr>
              <w:jc w:val="right"/>
              <w:rPr>
                <w:rFonts w:asciiTheme="minorHAnsi" w:eastAsia="Times New Roman" w:hAnsiTheme="minorHAnsi"/>
                <w:color w:val="000000"/>
              </w:rPr>
            </w:pPr>
            <w:r w:rsidRPr="00192227">
              <w:rPr>
                <w:rFonts w:asciiTheme="minorHAnsi" w:eastAsia="Times New Roman" w:hAnsiTheme="minorHAnsi"/>
                <w:color w:val="000000"/>
              </w:rPr>
              <w:t>Total SAEs Per Program</w:t>
            </w:r>
          </w:p>
        </w:tc>
        <w:tc>
          <w:tcPr>
            <w:tcW w:w="1530" w:type="dxa"/>
            <w:tcBorders>
              <w:top w:val="single" w:sz="4" w:space="0" w:color="auto"/>
              <w:left w:val="nil"/>
              <w:bottom w:val="single" w:sz="4" w:space="0" w:color="auto"/>
              <w:right w:val="nil"/>
            </w:tcBorders>
            <w:shd w:val="clear" w:color="auto" w:fill="auto"/>
            <w:noWrap/>
            <w:vAlign w:val="bottom"/>
            <w:hideMark/>
          </w:tcPr>
          <w:p w14:paraId="2B08FA00" w14:textId="62FFE811" w:rsidR="00A87988" w:rsidRPr="00192227" w:rsidRDefault="00394FF5" w:rsidP="00192227">
            <w:pPr>
              <w:jc w:val="center"/>
              <w:rPr>
                <w:rFonts w:asciiTheme="minorHAnsi" w:eastAsia="Times New Roman" w:hAnsiTheme="minorHAnsi"/>
                <w:color w:val="000000"/>
              </w:rPr>
            </w:pPr>
            <w:r>
              <w:rPr>
                <w:rFonts w:asciiTheme="minorHAnsi" w:eastAsia="Times New Roman" w:hAnsiTheme="minorHAnsi"/>
                <w:color w:val="000000"/>
              </w:rPr>
              <w:t>100</w:t>
            </w:r>
          </w:p>
        </w:tc>
        <w:tc>
          <w:tcPr>
            <w:tcW w:w="828" w:type="dxa"/>
            <w:tcBorders>
              <w:top w:val="single" w:sz="4" w:space="0" w:color="auto"/>
              <w:left w:val="nil"/>
              <w:bottom w:val="single" w:sz="4" w:space="0" w:color="auto"/>
              <w:right w:val="nil"/>
            </w:tcBorders>
            <w:vAlign w:val="bottom"/>
          </w:tcPr>
          <w:p w14:paraId="78C75E32" w14:textId="77777777" w:rsidR="00A87988" w:rsidRPr="00192227" w:rsidRDefault="00A87988" w:rsidP="00192227">
            <w:pPr>
              <w:jc w:val="center"/>
              <w:rPr>
                <w:rFonts w:asciiTheme="minorHAnsi" w:eastAsia="Times New Roman" w:hAnsiTheme="minorHAnsi"/>
                <w:color w:val="000000"/>
              </w:rPr>
            </w:pPr>
          </w:p>
        </w:tc>
        <w:tc>
          <w:tcPr>
            <w:tcW w:w="2784" w:type="dxa"/>
            <w:tcBorders>
              <w:top w:val="single" w:sz="4" w:space="0" w:color="auto"/>
              <w:left w:val="nil"/>
              <w:bottom w:val="single" w:sz="4" w:space="0" w:color="auto"/>
              <w:right w:val="nil"/>
            </w:tcBorders>
            <w:shd w:val="clear" w:color="auto" w:fill="auto"/>
            <w:noWrap/>
            <w:vAlign w:val="bottom"/>
            <w:hideMark/>
          </w:tcPr>
          <w:p w14:paraId="479AE98E" w14:textId="5B560A69" w:rsidR="00394FF5" w:rsidRPr="00394FF5" w:rsidRDefault="00394FF5" w:rsidP="00394FF5">
            <w:pPr>
              <w:jc w:val="center"/>
              <w:rPr>
                <w:rFonts w:asciiTheme="minorHAnsi" w:hAnsiTheme="minorHAnsi"/>
                <w:color w:val="000000"/>
              </w:rPr>
            </w:pPr>
            <w:r>
              <w:rPr>
                <w:rFonts w:asciiTheme="minorHAnsi" w:hAnsiTheme="minorHAnsi"/>
                <w:color w:val="000000"/>
              </w:rPr>
              <w:t>872,238</w:t>
            </w:r>
          </w:p>
        </w:tc>
      </w:tr>
    </w:tbl>
    <w:p w14:paraId="5698C706" w14:textId="77777777" w:rsidR="00394FF5" w:rsidRDefault="00394FF5" w:rsidP="00192227">
      <w:pPr>
        <w:pStyle w:val="BodyText"/>
        <w:spacing w:after="0"/>
        <w:rPr>
          <w:rFonts w:ascii="Baskerville Old Face" w:hAnsi="Baskerville Old Face"/>
          <w:sz w:val="24"/>
          <w:szCs w:val="24"/>
        </w:rPr>
      </w:pPr>
      <w:bookmarkStart w:id="0" w:name="OLE_LINK1"/>
    </w:p>
    <w:p w14:paraId="0CE748DF" w14:textId="47510CCB" w:rsidR="00E679F7" w:rsidRPr="00192227" w:rsidRDefault="0079604D" w:rsidP="00192227">
      <w:pPr>
        <w:pStyle w:val="BodyText"/>
        <w:spacing w:after="0"/>
        <w:rPr>
          <w:rFonts w:ascii="Baskerville Old Face" w:hAnsi="Baskerville Old Face"/>
          <w:sz w:val="24"/>
          <w:szCs w:val="24"/>
        </w:rPr>
      </w:pPr>
      <w:r w:rsidRPr="00192227">
        <w:rPr>
          <w:rFonts w:ascii="Baskerville Old Face" w:hAnsi="Baskerville Old Face"/>
          <w:sz w:val="24"/>
          <w:szCs w:val="24"/>
        </w:rPr>
        <w:t xml:space="preserve">As </w:t>
      </w:r>
      <w:r w:rsidR="001A6998" w:rsidRPr="00192227">
        <w:rPr>
          <w:rFonts w:ascii="Baskerville Old Face" w:hAnsi="Baskerville Old Face"/>
          <w:color w:val="000000" w:themeColor="text1"/>
          <w:sz w:val="24"/>
          <w:szCs w:val="24"/>
        </w:rPr>
        <w:t>illustrated</w:t>
      </w:r>
      <w:r w:rsidRPr="00192227">
        <w:rPr>
          <w:rFonts w:ascii="Baskerville Old Face" w:hAnsi="Baskerville Old Face"/>
          <w:color w:val="000000" w:themeColor="text1"/>
          <w:sz w:val="24"/>
          <w:szCs w:val="24"/>
        </w:rPr>
        <w:t xml:space="preserve"> in Table </w:t>
      </w:r>
      <w:r w:rsidR="00394FF5">
        <w:rPr>
          <w:rFonts w:ascii="Baskerville Old Face" w:hAnsi="Baskerville Old Face"/>
          <w:color w:val="000000" w:themeColor="text1"/>
          <w:sz w:val="24"/>
          <w:szCs w:val="24"/>
        </w:rPr>
        <w:t>2</w:t>
      </w:r>
      <w:r w:rsidRPr="00192227">
        <w:rPr>
          <w:rFonts w:ascii="Baskerville Old Face" w:hAnsi="Baskerville Old Face"/>
          <w:color w:val="000000" w:themeColor="text1"/>
          <w:sz w:val="24"/>
          <w:szCs w:val="24"/>
        </w:rPr>
        <w:t>, the highest immersion SAE category is placement (</w:t>
      </w:r>
      <w:r w:rsidR="00394FF5">
        <w:rPr>
          <w:rFonts w:ascii="Baskerville Old Face" w:hAnsi="Baskerville Old Face"/>
          <w:color w:val="000000" w:themeColor="text1"/>
          <w:sz w:val="24"/>
          <w:szCs w:val="24"/>
        </w:rPr>
        <w:t xml:space="preserve">54% - </w:t>
      </w:r>
      <w:r w:rsidRPr="00192227">
        <w:rPr>
          <w:rFonts w:ascii="Baskerville Old Face" w:hAnsi="Baskerville Old Face"/>
          <w:color w:val="000000" w:themeColor="text1"/>
          <w:sz w:val="24"/>
          <w:szCs w:val="24"/>
        </w:rPr>
        <w:t>job experiences) with</w:t>
      </w:r>
      <w:r w:rsidR="00827AFE" w:rsidRPr="00192227">
        <w:rPr>
          <w:rFonts w:ascii="Baskerville Old Face" w:hAnsi="Baskerville Old Face"/>
          <w:color w:val="000000" w:themeColor="text1"/>
          <w:sz w:val="24"/>
          <w:szCs w:val="24"/>
        </w:rPr>
        <w:t xml:space="preserve"> f</w:t>
      </w:r>
      <w:r w:rsidRPr="00192227">
        <w:rPr>
          <w:rFonts w:ascii="Baskerville Old Face" w:hAnsi="Baskerville Old Face"/>
          <w:color w:val="000000" w:themeColor="text1"/>
          <w:sz w:val="24"/>
          <w:szCs w:val="24"/>
        </w:rPr>
        <w:t xml:space="preserve">oundational SAEs representing about </w:t>
      </w:r>
      <w:r w:rsidR="00394FF5">
        <w:rPr>
          <w:rFonts w:ascii="Baskerville Old Face" w:hAnsi="Baskerville Old Face"/>
          <w:sz w:val="24"/>
          <w:szCs w:val="24"/>
        </w:rPr>
        <w:t>22</w:t>
      </w:r>
      <w:r w:rsidRPr="00192227">
        <w:rPr>
          <w:rFonts w:ascii="Baskerville Old Face" w:hAnsi="Baskerville Old Face"/>
          <w:sz w:val="24"/>
          <w:szCs w:val="24"/>
        </w:rPr>
        <w:t xml:space="preserve"> projects per program.  </w:t>
      </w:r>
      <w:r w:rsidR="00D77760" w:rsidRPr="00192227">
        <w:rPr>
          <w:rFonts w:ascii="Baskerville Old Face" w:hAnsi="Baskerville Old Face"/>
          <w:sz w:val="24"/>
          <w:szCs w:val="24"/>
        </w:rPr>
        <w:t xml:space="preserve">SAE engagement by AFNR </w:t>
      </w:r>
      <w:r w:rsidR="00937022" w:rsidRPr="00192227">
        <w:rPr>
          <w:rFonts w:ascii="Baskerville Old Face" w:hAnsi="Baskerville Old Face"/>
          <w:sz w:val="24"/>
          <w:szCs w:val="24"/>
        </w:rPr>
        <w:t xml:space="preserve">area and relative value is listed in Table </w:t>
      </w:r>
      <w:r w:rsidR="00394FF5">
        <w:rPr>
          <w:rFonts w:ascii="Baskerville Old Face" w:hAnsi="Baskerville Old Face"/>
          <w:sz w:val="24"/>
          <w:szCs w:val="24"/>
        </w:rPr>
        <w:t>3</w:t>
      </w:r>
      <w:r w:rsidR="00937022" w:rsidRPr="00192227">
        <w:rPr>
          <w:rFonts w:ascii="Baskerville Old Face" w:hAnsi="Baskerville Old Face"/>
          <w:sz w:val="24"/>
          <w:szCs w:val="24"/>
        </w:rPr>
        <w:t>.</w:t>
      </w:r>
    </w:p>
    <w:p w14:paraId="3D49ABBC" w14:textId="77777777" w:rsidR="00394FF5" w:rsidRPr="00192227" w:rsidRDefault="00394FF5" w:rsidP="00192227">
      <w:pPr>
        <w:pStyle w:val="BodyText"/>
        <w:spacing w:after="0"/>
        <w:rPr>
          <w:rFonts w:ascii="Baskerville" w:hAnsi="Baskerville" w:cs="Times New Roman"/>
          <w:sz w:val="24"/>
          <w:szCs w:val="24"/>
        </w:rPr>
      </w:pPr>
    </w:p>
    <w:p w14:paraId="4D3E329C" w14:textId="5AEC1455" w:rsidR="00284011" w:rsidRPr="00192227" w:rsidRDefault="00BA5915" w:rsidP="00192227">
      <w:pPr>
        <w:pStyle w:val="BodyText"/>
        <w:spacing w:after="0"/>
        <w:rPr>
          <w:rFonts w:ascii="Baskerville" w:hAnsi="Baskerville"/>
        </w:rPr>
      </w:pPr>
      <w:r w:rsidRPr="00192227">
        <w:rPr>
          <w:rFonts w:ascii="Baskerville" w:hAnsi="Baskerville" w:cs="Times New Roman"/>
          <w:sz w:val="24"/>
          <w:szCs w:val="24"/>
        </w:rPr>
        <w:t xml:space="preserve">Table </w:t>
      </w:r>
      <w:r w:rsidR="00394FF5">
        <w:rPr>
          <w:rFonts w:ascii="Baskerville" w:hAnsi="Baskerville" w:cs="Times New Roman"/>
          <w:sz w:val="24"/>
          <w:szCs w:val="24"/>
        </w:rPr>
        <w:t>3</w:t>
      </w:r>
      <w:r w:rsidR="000765B7" w:rsidRPr="00192227">
        <w:rPr>
          <w:rFonts w:ascii="Baskerville" w:hAnsi="Baskerville" w:cs="Times New Roman"/>
          <w:sz w:val="24"/>
          <w:szCs w:val="24"/>
        </w:rPr>
        <w:t xml:space="preserve"> Student SAE </w:t>
      </w:r>
      <w:r w:rsidR="00644E77" w:rsidRPr="00192227">
        <w:rPr>
          <w:rFonts w:ascii="Baskerville" w:hAnsi="Baskerville" w:cs="Times New Roman"/>
          <w:sz w:val="24"/>
          <w:szCs w:val="24"/>
        </w:rPr>
        <w:t>Involvement</w:t>
      </w:r>
      <w:r w:rsidR="000765B7" w:rsidRPr="00192227">
        <w:rPr>
          <w:rFonts w:ascii="Baskerville" w:hAnsi="Baskerville" w:cs="Times New Roman"/>
          <w:sz w:val="24"/>
          <w:szCs w:val="24"/>
        </w:rPr>
        <w:t xml:space="preserve"> by Interest Area </w:t>
      </w:r>
      <w:r w:rsidR="00D77760" w:rsidRPr="00192227">
        <w:rPr>
          <w:rFonts w:ascii="Baskerville" w:hAnsi="Baskerville" w:cs="Times New Roman"/>
          <w:sz w:val="24"/>
          <w:szCs w:val="24"/>
        </w:rPr>
        <w:t>(n=</w:t>
      </w:r>
      <w:r w:rsidR="00AC7272" w:rsidRPr="00192227">
        <w:rPr>
          <w:rFonts w:ascii="Baskerville" w:hAnsi="Baskerville" w:cs="Times New Roman"/>
          <w:sz w:val="24"/>
          <w:szCs w:val="24"/>
        </w:rPr>
        <w:t>4,</w:t>
      </w:r>
      <w:r w:rsidR="00394FF5">
        <w:rPr>
          <w:rFonts w:ascii="Baskerville" w:hAnsi="Baskerville" w:cs="Times New Roman"/>
          <w:sz w:val="24"/>
          <w:szCs w:val="24"/>
        </w:rPr>
        <w:t>423</w:t>
      </w:r>
      <w:r w:rsidR="000765B7" w:rsidRPr="00192227">
        <w:rPr>
          <w:rFonts w:ascii="Baskerville" w:hAnsi="Baskerville" w:cs="Times New Roman"/>
          <w:sz w:val="24"/>
          <w:szCs w:val="24"/>
        </w:rPr>
        <w:t>)</w:t>
      </w:r>
    </w:p>
    <w:tbl>
      <w:tblPr>
        <w:tblW w:w="7542" w:type="dxa"/>
        <w:tblInd w:w="108" w:type="dxa"/>
        <w:tblLayout w:type="fixed"/>
        <w:tblLook w:val="04A0" w:firstRow="1" w:lastRow="0" w:firstColumn="1" w:lastColumn="0" w:noHBand="0" w:noVBand="1"/>
      </w:tblPr>
      <w:tblGrid>
        <w:gridCol w:w="4140"/>
        <w:gridCol w:w="1794"/>
        <w:gridCol w:w="1608"/>
      </w:tblGrid>
      <w:tr w:rsidR="006435A2" w:rsidRPr="00192227" w14:paraId="2CC36623" w14:textId="77777777" w:rsidTr="006435A2">
        <w:trPr>
          <w:trHeight w:val="340"/>
        </w:trPr>
        <w:tc>
          <w:tcPr>
            <w:tcW w:w="4140" w:type="dxa"/>
            <w:tcBorders>
              <w:top w:val="single" w:sz="8" w:space="0" w:color="auto"/>
              <w:left w:val="nil"/>
              <w:bottom w:val="single" w:sz="8" w:space="0" w:color="auto"/>
              <w:right w:val="nil"/>
            </w:tcBorders>
            <w:shd w:val="clear" w:color="auto" w:fill="auto"/>
            <w:noWrap/>
            <w:vAlign w:val="center"/>
            <w:hideMark/>
          </w:tcPr>
          <w:bookmarkEnd w:id="0"/>
          <w:p w14:paraId="3F34E43E" w14:textId="77777777" w:rsidR="006435A2" w:rsidRPr="00192227" w:rsidRDefault="006435A2" w:rsidP="00192227">
            <w:pPr>
              <w:rPr>
                <w:rFonts w:asciiTheme="minorHAnsi" w:eastAsia="Times New Roman" w:hAnsiTheme="minorHAnsi"/>
                <w:color w:val="000000"/>
              </w:rPr>
            </w:pPr>
            <w:r w:rsidRPr="00192227">
              <w:rPr>
                <w:rFonts w:asciiTheme="minorHAnsi" w:eastAsia="Times New Roman" w:hAnsiTheme="minorHAnsi"/>
                <w:color w:val="000000"/>
              </w:rPr>
              <w:t>SAE Descriptive Area</w:t>
            </w:r>
          </w:p>
        </w:tc>
        <w:tc>
          <w:tcPr>
            <w:tcW w:w="1794" w:type="dxa"/>
            <w:tcBorders>
              <w:top w:val="single" w:sz="8" w:space="0" w:color="auto"/>
              <w:left w:val="nil"/>
              <w:bottom w:val="single" w:sz="8" w:space="0" w:color="auto"/>
              <w:right w:val="nil"/>
            </w:tcBorders>
            <w:shd w:val="clear" w:color="auto" w:fill="auto"/>
            <w:noWrap/>
            <w:vAlign w:val="center"/>
            <w:hideMark/>
          </w:tcPr>
          <w:p w14:paraId="3944CA41" w14:textId="5F27FF31" w:rsidR="006435A2" w:rsidRPr="00192227" w:rsidRDefault="006435A2" w:rsidP="00192227">
            <w:pPr>
              <w:jc w:val="right"/>
              <w:rPr>
                <w:rFonts w:asciiTheme="minorHAnsi" w:eastAsia="Times New Roman" w:hAnsiTheme="minorHAnsi"/>
                <w:color w:val="000000"/>
              </w:rPr>
            </w:pPr>
            <w:r w:rsidRPr="00192227">
              <w:rPr>
                <w:rFonts w:asciiTheme="minorHAnsi" w:eastAsia="Times New Roman" w:hAnsiTheme="minorHAnsi"/>
                <w:color w:val="000000"/>
              </w:rPr>
              <w:t>Average</w:t>
            </w:r>
          </w:p>
          <w:p w14:paraId="6B2504E0" w14:textId="1F0FE24D" w:rsidR="006435A2" w:rsidRPr="00192227" w:rsidRDefault="006435A2" w:rsidP="00192227">
            <w:pPr>
              <w:jc w:val="right"/>
              <w:rPr>
                <w:rFonts w:asciiTheme="minorHAnsi" w:eastAsia="Times New Roman" w:hAnsiTheme="minorHAnsi"/>
                <w:color w:val="000000"/>
              </w:rPr>
            </w:pPr>
            <w:r w:rsidRPr="00192227">
              <w:rPr>
                <w:rFonts w:asciiTheme="minorHAnsi" w:eastAsia="Times New Roman" w:hAnsiTheme="minorHAnsi"/>
                <w:color w:val="000000"/>
                <w:sz w:val="20"/>
                <w:szCs w:val="20"/>
              </w:rPr>
              <w:t>(Per Program)</w:t>
            </w:r>
          </w:p>
        </w:tc>
        <w:tc>
          <w:tcPr>
            <w:tcW w:w="1608" w:type="dxa"/>
            <w:tcBorders>
              <w:top w:val="single" w:sz="8" w:space="0" w:color="auto"/>
              <w:left w:val="nil"/>
              <w:bottom w:val="single" w:sz="8" w:space="0" w:color="auto"/>
              <w:right w:val="nil"/>
            </w:tcBorders>
            <w:vAlign w:val="center"/>
          </w:tcPr>
          <w:p w14:paraId="4B97A7E7" w14:textId="673A0FC9" w:rsidR="006435A2" w:rsidRPr="00192227" w:rsidRDefault="006435A2" w:rsidP="00192227">
            <w:pPr>
              <w:jc w:val="center"/>
              <w:rPr>
                <w:rFonts w:asciiTheme="minorHAnsi" w:eastAsia="Times New Roman" w:hAnsiTheme="minorHAnsi"/>
                <w:color w:val="000000"/>
              </w:rPr>
            </w:pPr>
            <w:r w:rsidRPr="00192227">
              <w:rPr>
                <w:rFonts w:asciiTheme="minorHAnsi" w:eastAsia="Times New Roman" w:hAnsiTheme="minorHAnsi"/>
                <w:color w:val="000000"/>
              </w:rPr>
              <w:t>%</w:t>
            </w:r>
            <w:r>
              <w:rPr>
                <w:rFonts w:asciiTheme="minorHAnsi" w:eastAsia="Times New Roman" w:hAnsiTheme="minorHAnsi"/>
                <w:color w:val="000000"/>
              </w:rPr>
              <w:t xml:space="preserve"> Value per Program</w:t>
            </w:r>
          </w:p>
        </w:tc>
      </w:tr>
      <w:tr w:rsidR="006435A2" w:rsidRPr="00192227" w14:paraId="03A165F5" w14:textId="77777777" w:rsidTr="006435A2">
        <w:trPr>
          <w:trHeight w:val="340"/>
        </w:trPr>
        <w:tc>
          <w:tcPr>
            <w:tcW w:w="4140" w:type="dxa"/>
            <w:tcBorders>
              <w:top w:val="nil"/>
              <w:left w:val="nil"/>
              <w:bottom w:val="nil"/>
              <w:right w:val="nil"/>
            </w:tcBorders>
            <w:shd w:val="clear" w:color="auto" w:fill="auto"/>
            <w:noWrap/>
            <w:vAlign w:val="center"/>
            <w:hideMark/>
          </w:tcPr>
          <w:p w14:paraId="5F3224AE" w14:textId="43A46C79" w:rsidR="006435A2" w:rsidRPr="00192227" w:rsidRDefault="006435A2" w:rsidP="006435A2">
            <w:pPr>
              <w:rPr>
                <w:rFonts w:asciiTheme="minorHAnsi" w:eastAsia="Times New Roman" w:hAnsiTheme="minorHAnsi"/>
                <w:color w:val="000000"/>
              </w:rPr>
            </w:pPr>
            <w:r w:rsidRPr="00192227">
              <w:rPr>
                <w:rFonts w:asciiTheme="minorHAnsi" w:eastAsia="Times New Roman" w:hAnsiTheme="minorHAnsi"/>
                <w:color w:val="000000"/>
              </w:rPr>
              <w:t>Animal Systems</w:t>
            </w:r>
          </w:p>
        </w:tc>
        <w:tc>
          <w:tcPr>
            <w:tcW w:w="1794" w:type="dxa"/>
            <w:tcBorders>
              <w:top w:val="nil"/>
              <w:left w:val="nil"/>
              <w:bottom w:val="nil"/>
              <w:right w:val="nil"/>
            </w:tcBorders>
            <w:shd w:val="clear" w:color="auto" w:fill="auto"/>
            <w:noWrap/>
            <w:vAlign w:val="center"/>
            <w:hideMark/>
          </w:tcPr>
          <w:p w14:paraId="21B60A7E" w14:textId="181C3A36" w:rsidR="006435A2" w:rsidRPr="00192227" w:rsidRDefault="006435A2" w:rsidP="006435A2">
            <w:pPr>
              <w:jc w:val="right"/>
              <w:rPr>
                <w:rFonts w:asciiTheme="minorHAnsi" w:eastAsia="Times New Roman" w:hAnsiTheme="minorHAnsi"/>
                <w:color w:val="000000"/>
              </w:rPr>
            </w:pPr>
            <w:r>
              <w:rPr>
                <w:rFonts w:ascii="Baskerville" w:hAnsi="Baskerville" w:cs="Calibri"/>
                <w:color w:val="000000"/>
              </w:rPr>
              <w:t xml:space="preserve">                  41.3 </w:t>
            </w:r>
          </w:p>
        </w:tc>
        <w:tc>
          <w:tcPr>
            <w:tcW w:w="1608" w:type="dxa"/>
            <w:tcBorders>
              <w:top w:val="nil"/>
              <w:left w:val="nil"/>
              <w:bottom w:val="nil"/>
              <w:right w:val="nil"/>
            </w:tcBorders>
            <w:vAlign w:val="center"/>
          </w:tcPr>
          <w:p w14:paraId="702A4140" w14:textId="173C5F89" w:rsidR="006435A2" w:rsidRPr="00192227" w:rsidRDefault="006435A2" w:rsidP="006435A2">
            <w:pPr>
              <w:jc w:val="center"/>
              <w:rPr>
                <w:rFonts w:asciiTheme="minorHAnsi" w:eastAsia="Times New Roman" w:hAnsiTheme="minorHAnsi"/>
                <w:color w:val="000000"/>
              </w:rPr>
            </w:pPr>
            <w:r>
              <w:rPr>
                <w:rFonts w:ascii="Baskerville" w:hAnsi="Baskerville" w:cs="Calibri"/>
                <w:color w:val="000000"/>
              </w:rPr>
              <w:t>47.4%</w:t>
            </w:r>
          </w:p>
        </w:tc>
      </w:tr>
      <w:tr w:rsidR="006435A2" w:rsidRPr="00192227" w14:paraId="20BB53BC" w14:textId="77777777" w:rsidTr="006435A2">
        <w:trPr>
          <w:trHeight w:val="320"/>
        </w:trPr>
        <w:tc>
          <w:tcPr>
            <w:tcW w:w="4140" w:type="dxa"/>
            <w:tcBorders>
              <w:top w:val="nil"/>
              <w:left w:val="nil"/>
              <w:bottom w:val="nil"/>
              <w:right w:val="nil"/>
            </w:tcBorders>
            <w:shd w:val="clear" w:color="auto" w:fill="auto"/>
            <w:noWrap/>
            <w:vAlign w:val="center"/>
            <w:hideMark/>
          </w:tcPr>
          <w:p w14:paraId="03F0B6E9" w14:textId="20F0F0E4" w:rsidR="006435A2" w:rsidRPr="00192227" w:rsidRDefault="006435A2" w:rsidP="006435A2">
            <w:pPr>
              <w:rPr>
                <w:rFonts w:asciiTheme="minorHAnsi" w:eastAsia="Times New Roman" w:hAnsiTheme="minorHAnsi"/>
                <w:color w:val="000000"/>
              </w:rPr>
            </w:pPr>
            <w:r w:rsidRPr="00192227">
              <w:rPr>
                <w:rFonts w:asciiTheme="minorHAnsi" w:eastAsia="Times New Roman" w:hAnsiTheme="minorHAnsi"/>
                <w:color w:val="000000"/>
              </w:rPr>
              <w:t>Agribusiness Systems</w:t>
            </w:r>
          </w:p>
        </w:tc>
        <w:tc>
          <w:tcPr>
            <w:tcW w:w="1794" w:type="dxa"/>
            <w:tcBorders>
              <w:top w:val="nil"/>
              <w:left w:val="nil"/>
              <w:bottom w:val="nil"/>
              <w:right w:val="nil"/>
            </w:tcBorders>
            <w:shd w:val="clear" w:color="auto" w:fill="auto"/>
            <w:noWrap/>
            <w:vAlign w:val="center"/>
            <w:hideMark/>
          </w:tcPr>
          <w:p w14:paraId="44A5AE90" w14:textId="15F2EE62" w:rsidR="006435A2" w:rsidRPr="00192227" w:rsidRDefault="006435A2" w:rsidP="006435A2">
            <w:pPr>
              <w:jc w:val="right"/>
              <w:rPr>
                <w:rFonts w:asciiTheme="minorHAnsi" w:eastAsia="Times New Roman" w:hAnsiTheme="minorHAnsi"/>
                <w:color w:val="000000"/>
              </w:rPr>
            </w:pPr>
            <w:r>
              <w:rPr>
                <w:rFonts w:ascii="Baskerville" w:hAnsi="Baskerville" w:cs="Calibri"/>
                <w:color w:val="000000"/>
              </w:rPr>
              <w:t xml:space="preserve">                    5.4 </w:t>
            </w:r>
          </w:p>
        </w:tc>
        <w:tc>
          <w:tcPr>
            <w:tcW w:w="1608" w:type="dxa"/>
            <w:tcBorders>
              <w:top w:val="nil"/>
              <w:left w:val="nil"/>
              <w:bottom w:val="nil"/>
              <w:right w:val="nil"/>
            </w:tcBorders>
            <w:vAlign w:val="center"/>
          </w:tcPr>
          <w:p w14:paraId="0C68F49A" w14:textId="2B2228B6" w:rsidR="006435A2" w:rsidRPr="00192227" w:rsidRDefault="006435A2" w:rsidP="006435A2">
            <w:pPr>
              <w:jc w:val="center"/>
              <w:rPr>
                <w:rFonts w:asciiTheme="minorHAnsi" w:eastAsia="Times New Roman" w:hAnsiTheme="minorHAnsi"/>
                <w:color w:val="000000"/>
              </w:rPr>
            </w:pPr>
            <w:r>
              <w:rPr>
                <w:rFonts w:ascii="Baskerville" w:hAnsi="Baskerville" w:cs="Calibri"/>
                <w:color w:val="000000"/>
              </w:rPr>
              <w:t>6.2%</w:t>
            </w:r>
          </w:p>
        </w:tc>
      </w:tr>
      <w:tr w:rsidR="006435A2" w:rsidRPr="00192227" w14:paraId="29716E06" w14:textId="77777777" w:rsidTr="006435A2">
        <w:trPr>
          <w:trHeight w:val="320"/>
        </w:trPr>
        <w:tc>
          <w:tcPr>
            <w:tcW w:w="4140" w:type="dxa"/>
            <w:tcBorders>
              <w:top w:val="nil"/>
              <w:left w:val="nil"/>
              <w:bottom w:val="nil"/>
              <w:right w:val="nil"/>
            </w:tcBorders>
            <w:shd w:val="clear" w:color="auto" w:fill="auto"/>
            <w:noWrap/>
            <w:vAlign w:val="center"/>
            <w:hideMark/>
          </w:tcPr>
          <w:p w14:paraId="733171F5" w14:textId="3E97D633" w:rsidR="006435A2" w:rsidRPr="00192227" w:rsidRDefault="006435A2" w:rsidP="006435A2">
            <w:pPr>
              <w:rPr>
                <w:rFonts w:asciiTheme="minorHAnsi" w:eastAsia="Times New Roman" w:hAnsiTheme="minorHAnsi"/>
                <w:color w:val="000000"/>
              </w:rPr>
            </w:pPr>
            <w:r w:rsidRPr="00192227">
              <w:rPr>
                <w:rFonts w:asciiTheme="minorHAnsi" w:eastAsia="Times New Roman" w:hAnsiTheme="minorHAnsi"/>
                <w:color w:val="000000"/>
              </w:rPr>
              <w:t>Leadership Education &amp; Comm.</w:t>
            </w:r>
          </w:p>
        </w:tc>
        <w:tc>
          <w:tcPr>
            <w:tcW w:w="1794" w:type="dxa"/>
            <w:tcBorders>
              <w:top w:val="nil"/>
              <w:left w:val="nil"/>
              <w:bottom w:val="nil"/>
              <w:right w:val="nil"/>
            </w:tcBorders>
            <w:shd w:val="clear" w:color="auto" w:fill="auto"/>
            <w:noWrap/>
            <w:vAlign w:val="center"/>
            <w:hideMark/>
          </w:tcPr>
          <w:p w14:paraId="4AEDA902" w14:textId="580092F9" w:rsidR="006435A2" w:rsidRPr="00192227" w:rsidRDefault="006435A2" w:rsidP="006435A2">
            <w:pPr>
              <w:jc w:val="right"/>
              <w:rPr>
                <w:rFonts w:asciiTheme="minorHAnsi" w:eastAsia="Times New Roman" w:hAnsiTheme="minorHAnsi"/>
                <w:color w:val="000000"/>
              </w:rPr>
            </w:pPr>
            <w:r>
              <w:rPr>
                <w:rFonts w:ascii="Baskerville" w:hAnsi="Baskerville" w:cs="Calibri"/>
                <w:color w:val="000000"/>
              </w:rPr>
              <w:t xml:space="preserve">                    4.5 </w:t>
            </w:r>
          </w:p>
        </w:tc>
        <w:tc>
          <w:tcPr>
            <w:tcW w:w="1608" w:type="dxa"/>
            <w:tcBorders>
              <w:top w:val="nil"/>
              <w:left w:val="nil"/>
              <w:bottom w:val="nil"/>
              <w:right w:val="nil"/>
            </w:tcBorders>
            <w:vAlign w:val="center"/>
          </w:tcPr>
          <w:p w14:paraId="0D4BBEBF" w14:textId="60B31A50" w:rsidR="006435A2" w:rsidRPr="00192227" w:rsidRDefault="006435A2" w:rsidP="006435A2">
            <w:pPr>
              <w:jc w:val="center"/>
              <w:rPr>
                <w:rFonts w:asciiTheme="minorHAnsi" w:eastAsia="Times New Roman" w:hAnsiTheme="minorHAnsi"/>
                <w:color w:val="000000"/>
              </w:rPr>
            </w:pPr>
            <w:r>
              <w:rPr>
                <w:rFonts w:ascii="Baskerville" w:hAnsi="Baskerville" w:cs="Calibri"/>
                <w:color w:val="000000"/>
              </w:rPr>
              <w:t>5.2%</w:t>
            </w:r>
          </w:p>
        </w:tc>
      </w:tr>
      <w:tr w:rsidR="006435A2" w:rsidRPr="00192227" w14:paraId="37BD96E3" w14:textId="77777777" w:rsidTr="006435A2">
        <w:trPr>
          <w:trHeight w:val="320"/>
        </w:trPr>
        <w:tc>
          <w:tcPr>
            <w:tcW w:w="4140" w:type="dxa"/>
            <w:tcBorders>
              <w:top w:val="nil"/>
              <w:left w:val="nil"/>
              <w:bottom w:val="nil"/>
              <w:right w:val="nil"/>
            </w:tcBorders>
            <w:shd w:val="clear" w:color="auto" w:fill="auto"/>
            <w:noWrap/>
            <w:vAlign w:val="center"/>
            <w:hideMark/>
          </w:tcPr>
          <w:p w14:paraId="0F5D831E" w14:textId="617ED5F6" w:rsidR="006435A2" w:rsidRPr="00192227" w:rsidRDefault="006435A2" w:rsidP="006435A2">
            <w:pPr>
              <w:rPr>
                <w:rFonts w:asciiTheme="minorHAnsi" w:eastAsia="Times New Roman" w:hAnsiTheme="minorHAnsi"/>
                <w:color w:val="000000"/>
              </w:rPr>
            </w:pPr>
            <w:r w:rsidRPr="00192227">
              <w:rPr>
                <w:rFonts w:asciiTheme="minorHAnsi" w:eastAsia="Times New Roman" w:hAnsiTheme="minorHAnsi"/>
                <w:color w:val="000000"/>
              </w:rPr>
              <w:t xml:space="preserve">Environmental Systems </w:t>
            </w:r>
          </w:p>
        </w:tc>
        <w:tc>
          <w:tcPr>
            <w:tcW w:w="1794" w:type="dxa"/>
            <w:tcBorders>
              <w:top w:val="nil"/>
              <w:left w:val="nil"/>
              <w:bottom w:val="nil"/>
              <w:right w:val="nil"/>
            </w:tcBorders>
            <w:shd w:val="clear" w:color="auto" w:fill="auto"/>
            <w:noWrap/>
            <w:vAlign w:val="center"/>
            <w:hideMark/>
          </w:tcPr>
          <w:p w14:paraId="117BC57B" w14:textId="34AA1F77" w:rsidR="006435A2" w:rsidRPr="00192227" w:rsidRDefault="006435A2" w:rsidP="006435A2">
            <w:pPr>
              <w:jc w:val="right"/>
              <w:rPr>
                <w:rFonts w:asciiTheme="minorHAnsi" w:eastAsia="Times New Roman" w:hAnsiTheme="minorHAnsi"/>
                <w:color w:val="000000"/>
              </w:rPr>
            </w:pPr>
            <w:r>
              <w:rPr>
                <w:rFonts w:ascii="Baskerville" w:hAnsi="Baskerville" w:cs="Calibri"/>
                <w:color w:val="000000"/>
              </w:rPr>
              <w:t xml:space="preserve">                    3.1 </w:t>
            </w:r>
          </w:p>
        </w:tc>
        <w:tc>
          <w:tcPr>
            <w:tcW w:w="1608" w:type="dxa"/>
            <w:tcBorders>
              <w:top w:val="nil"/>
              <w:left w:val="nil"/>
              <w:bottom w:val="nil"/>
              <w:right w:val="nil"/>
            </w:tcBorders>
            <w:vAlign w:val="center"/>
          </w:tcPr>
          <w:p w14:paraId="393A8689" w14:textId="1301181E" w:rsidR="006435A2" w:rsidRPr="00192227" w:rsidRDefault="006435A2" w:rsidP="006435A2">
            <w:pPr>
              <w:jc w:val="center"/>
              <w:rPr>
                <w:rFonts w:asciiTheme="minorHAnsi" w:eastAsia="Times New Roman" w:hAnsiTheme="minorHAnsi"/>
                <w:color w:val="000000"/>
              </w:rPr>
            </w:pPr>
            <w:r>
              <w:rPr>
                <w:rFonts w:ascii="Baskerville" w:hAnsi="Baskerville" w:cs="Calibri"/>
                <w:color w:val="000000"/>
              </w:rPr>
              <w:t>3.6%</w:t>
            </w:r>
          </w:p>
        </w:tc>
      </w:tr>
      <w:tr w:rsidR="006435A2" w:rsidRPr="00192227" w14:paraId="71BAA7BA" w14:textId="77777777" w:rsidTr="006435A2">
        <w:trPr>
          <w:trHeight w:val="320"/>
        </w:trPr>
        <w:tc>
          <w:tcPr>
            <w:tcW w:w="4140" w:type="dxa"/>
            <w:tcBorders>
              <w:top w:val="nil"/>
              <w:left w:val="nil"/>
              <w:bottom w:val="nil"/>
              <w:right w:val="nil"/>
            </w:tcBorders>
            <w:shd w:val="clear" w:color="auto" w:fill="auto"/>
            <w:noWrap/>
            <w:vAlign w:val="center"/>
            <w:hideMark/>
          </w:tcPr>
          <w:p w14:paraId="4E1574AB" w14:textId="7A2423E7" w:rsidR="006435A2" w:rsidRPr="00192227" w:rsidRDefault="006435A2" w:rsidP="006435A2">
            <w:pPr>
              <w:rPr>
                <w:rFonts w:asciiTheme="minorHAnsi" w:eastAsia="Times New Roman" w:hAnsiTheme="minorHAnsi"/>
                <w:color w:val="000000"/>
              </w:rPr>
            </w:pPr>
            <w:r w:rsidRPr="00192227">
              <w:rPr>
                <w:rFonts w:asciiTheme="minorHAnsi" w:eastAsia="Times New Roman" w:hAnsiTheme="minorHAnsi"/>
                <w:color w:val="000000"/>
              </w:rPr>
              <w:t>Food Products and Processing</w:t>
            </w:r>
          </w:p>
        </w:tc>
        <w:tc>
          <w:tcPr>
            <w:tcW w:w="1794" w:type="dxa"/>
            <w:tcBorders>
              <w:top w:val="nil"/>
              <w:left w:val="nil"/>
              <w:bottom w:val="nil"/>
              <w:right w:val="nil"/>
            </w:tcBorders>
            <w:shd w:val="clear" w:color="auto" w:fill="auto"/>
            <w:noWrap/>
            <w:vAlign w:val="center"/>
            <w:hideMark/>
          </w:tcPr>
          <w:p w14:paraId="28299545" w14:textId="1F2F4400" w:rsidR="006435A2" w:rsidRPr="00192227" w:rsidRDefault="006435A2" w:rsidP="006435A2">
            <w:pPr>
              <w:jc w:val="right"/>
              <w:rPr>
                <w:rFonts w:asciiTheme="minorHAnsi" w:eastAsia="Times New Roman" w:hAnsiTheme="minorHAnsi"/>
                <w:color w:val="000000"/>
              </w:rPr>
            </w:pPr>
            <w:r>
              <w:rPr>
                <w:rFonts w:ascii="Baskerville" w:hAnsi="Baskerville" w:cs="Calibri"/>
                <w:color w:val="000000"/>
              </w:rPr>
              <w:t xml:space="preserve">                    4.8 </w:t>
            </w:r>
          </w:p>
        </w:tc>
        <w:tc>
          <w:tcPr>
            <w:tcW w:w="1608" w:type="dxa"/>
            <w:tcBorders>
              <w:top w:val="nil"/>
              <w:left w:val="nil"/>
              <w:bottom w:val="nil"/>
              <w:right w:val="nil"/>
            </w:tcBorders>
            <w:vAlign w:val="center"/>
          </w:tcPr>
          <w:p w14:paraId="076F1227" w14:textId="6F8A3A63" w:rsidR="006435A2" w:rsidRPr="00192227" w:rsidRDefault="006435A2" w:rsidP="006435A2">
            <w:pPr>
              <w:jc w:val="center"/>
              <w:rPr>
                <w:rFonts w:asciiTheme="minorHAnsi" w:eastAsia="Times New Roman" w:hAnsiTheme="minorHAnsi"/>
                <w:color w:val="000000"/>
              </w:rPr>
            </w:pPr>
            <w:r>
              <w:rPr>
                <w:rFonts w:ascii="Baskerville" w:hAnsi="Baskerville" w:cs="Calibri"/>
                <w:color w:val="000000"/>
              </w:rPr>
              <w:t>5.6%</w:t>
            </w:r>
          </w:p>
        </w:tc>
      </w:tr>
      <w:tr w:rsidR="006435A2" w:rsidRPr="00192227" w14:paraId="5423129C" w14:textId="77777777" w:rsidTr="006435A2">
        <w:trPr>
          <w:trHeight w:val="320"/>
        </w:trPr>
        <w:tc>
          <w:tcPr>
            <w:tcW w:w="4140" w:type="dxa"/>
            <w:tcBorders>
              <w:top w:val="nil"/>
              <w:left w:val="nil"/>
              <w:bottom w:val="nil"/>
              <w:right w:val="nil"/>
            </w:tcBorders>
            <w:shd w:val="clear" w:color="auto" w:fill="auto"/>
            <w:noWrap/>
            <w:vAlign w:val="center"/>
            <w:hideMark/>
          </w:tcPr>
          <w:p w14:paraId="028F9B6A" w14:textId="3D44E0CE" w:rsidR="006435A2" w:rsidRPr="00192227" w:rsidRDefault="006435A2" w:rsidP="006435A2">
            <w:pPr>
              <w:rPr>
                <w:rFonts w:asciiTheme="minorHAnsi" w:eastAsia="Times New Roman" w:hAnsiTheme="minorHAnsi"/>
                <w:color w:val="000000"/>
              </w:rPr>
            </w:pPr>
            <w:r w:rsidRPr="00192227">
              <w:rPr>
                <w:rFonts w:asciiTheme="minorHAnsi" w:eastAsia="Times New Roman" w:hAnsiTheme="minorHAnsi"/>
                <w:color w:val="000000"/>
              </w:rPr>
              <w:t xml:space="preserve">Power, Structural and Technical </w:t>
            </w:r>
          </w:p>
        </w:tc>
        <w:tc>
          <w:tcPr>
            <w:tcW w:w="1794" w:type="dxa"/>
            <w:tcBorders>
              <w:top w:val="nil"/>
              <w:left w:val="nil"/>
              <w:bottom w:val="nil"/>
              <w:right w:val="nil"/>
            </w:tcBorders>
            <w:shd w:val="clear" w:color="auto" w:fill="auto"/>
            <w:noWrap/>
            <w:vAlign w:val="center"/>
            <w:hideMark/>
          </w:tcPr>
          <w:p w14:paraId="5A49E2E2" w14:textId="779641AF" w:rsidR="006435A2" w:rsidRPr="00192227" w:rsidRDefault="006435A2" w:rsidP="006435A2">
            <w:pPr>
              <w:jc w:val="right"/>
              <w:rPr>
                <w:rFonts w:asciiTheme="minorHAnsi" w:eastAsia="Times New Roman" w:hAnsiTheme="minorHAnsi"/>
                <w:color w:val="000000"/>
              </w:rPr>
            </w:pPr>
            <w:r>
              <w:rPr>
                <w:rFonts w:ascii="Baskerville" w:hAnsi="Baskerville" w:cs="Calibri"/>
                <w:color w:val="000000"/>
              </w:rPr>
              <w:t xml:space="preserve">                    8.7 </w:t>
            </w:r>
          </w:p>
        </w:tc>
        <w:tc>
          <w:tcPr>
            <w:tcW w:w="1608" w:type="dxa"/>
            <w:tcBorders>
              <w:top w:val="nil"/>
              <w:left w:val="nil"/>
              <w:bottom w:val="nil"/>
              <w:right w:val="nil"/>
            </w:tcBorders>
            <w:vAlign w:val="center"/>
          </w:tcPr>
          <w:p w14:paraId="73D86592" w14:textId="18BD3152" w:rsidR="006435A2" w:rsidRPr="00192227" w:rsidRDefault="006435A2" w:rsidP="006435A2">
            <w:pPr>
              <w:jc w:val="center"/>
              <w:rPr>
                <w:rFonts w:asciiTheme="minorHAnsi" w:eastAsia="Times New Roman" w:hAnsiTheme="minorHAnsi"/>
                <w:color w:val="000000"/>
              </w:rPr>
            </w:pPr>
            <w:r>
              <w:rPr>
                <w:rFonts w:ascii="Baskerville" w:hAnsi="Baskerville" w:cs="Calibri"/>
                <w:color w:val="000000"/>
              </w:rPr>
              <w:t>9.9%</w:t>
            </w:r>
          </w:p>
        </w:tc>
      </w:tr>
      <w:tr w:rsidR="006435A2" w:rsidRPr="00192227" w14:paraId="557D9390" w14:textId="77777777" w:rsidTr="006435A2">
        <w:trPr>
          <w:trHeight w:val="320"/>
        </w:trPr>
        <w:tc>
          <w:tcPr>
            <w:tcW w:w="4140" w:type="dxa"/>
            <w:tcBorders>
              <w:top w:val="nil"/>
              <w:left w:val="nil"/>
              <w:bottom w:val="nil"/>
              <w:right w:val="nil"/>
            </w:tcBorders>
            <w:shd w:val="clear" w:color="auto" w:fill="auto"/>
            <w:noWrap/>
            <w:vAlign w:val="center"/>
            <w:hideMark/>
          </w:tcPr>
          <w:p w14:paraId="10686937" w14:textId="08C73950" w:rsidR="006435A2" w:rsidRPr="00192227" w:rsidRDefault="006435A2" w:rsidP="006435A2">
            <w:pPr>
              <w:rPr>
                <w:rFonts w:asciiTheme="minorHAnsi" w:eastAsia="Times New Roman" w:hAnsiTheme="minorHAnsi"/>
                <w:color w:val="000000"/>
              </w:rPr>
            </w:pPr>
            <w:r w:rsidRPr="00192227">
              <w:rPr>
                <w:rFonts w:asciiTheme="minorHAnsi" w:eastAsia="Times New Roman" w:hAnsiTheme="minorHAnsi"/>
                <w:color w:val="000000"/>
              </w:rPr>
              <w:t xml:space="preserve">Natural Resources </w:t>
            </w:r>
          </w:p>
        </w:tc>
        <w:tc>
          <w:tcPr>
            <w:tcW w:w="1794" w:type="dxa"/>
            <w:tcBorders>
              <w:top w:val="nil"/>
              <w:left w:val="nil"/>
              <w:bottom w:val="nil"/>
              <w:right w:val="nil"/>
            </w:tcBorders>
            <w:shd w:val="clear" w:color="auto" w:fill="auto"/>
            <w:noWrap/>
            <w:vAlign w:val="center"/>
            <w:hideMark/>
          </w:tcPr>
          <w:p w14:paraId="109927FE" w14:textId="54AA5F42" w:rsidR="006435A2" w:rsidRPr="00192227" w:rsidRDefault="006435A2" w:rsidP="006435A2">
            <w:pPr>
              <w:jc w:val="right"/>
              <w:rPr>
                <w:rFonts w:asciiTheme="minorHAnsi" w:eastAsia="Times New Roman" w:hAnsiTheme="minorHAnsi"/>
                <w:color w:val="000000"/>
              </w:rPr>
            </w:pPr>
            <w:r>
              <w:rPr>
                <w:rFonts w:ascii="Baskerville" w:hAnsi="Baskerville" w:cs="Calibri"/>
                <w:color w:val="000000"/>
              </w:rPr>
              <w:t xml:space="preserve">                    2.2 </w:t>
            </w:r>
          </w:p>
        </w:tc>
        <w:tc>
          <w:tcPr>
            <w:tcW w:w="1608" w:type="dxa"/>
            <w:tcBorders>
              <w:top w:val="nil"/>
              <w:left w:val="nil"/>
              <w:bottom w:val="nil"/>
              <w:right w:val="nil"/>
            </w:tcBorders>
            <w:vAlign w:val="center"/>
          </w:tcPr>
          <w:p w14:paraId="350518B1" w14:textId="764D391F" w:rsidR="006435A2" w:rsidRPr="00192227" w:rsidRDefault="006435A2" w:rsidP="006435A2">
            <w:pPr>
              <w:jc w:val="center"/>
              <w:rPr>
                <w:rFonts w:asciiTheme="minorHAnsi" w:eastAsia="Times New Roman" w:hAnsiTheme="minorHAnsi"/>
                <w:color w:val="000000"/>
              </w:rPr>
            </w:pPr>
            <w:r>
              <w:rPr>
                <w:rFonts w:ascii="Baskerville" w:hAnsi="Baskerville" w:cs="Calibri"/>
                <w:color w:val="000000"/>
              </w:rPr>
              <w:t>2.6%</w:t>
            </w:r>
          </w:p>
        </w:tc>
      </w:tr>
      <w:tr w:rsidR="006435A2" w:rsidRPr="00192227" w14:paraId="301FEEBE" w14:textId="77777777" w:rsidTr="006435A2">
        <w:trPr>
          <w:trHeight w:val="320"/>
        </w:trPr>
        <w:tc>
          <w:tcPr>
            <w:tcW w:w="4140" w:type="dxa"/>
            <w:tcBorders>
              <w:top w:val="nil"/>
              <w:left w:val="nil"/>
              <w:bottom w:val="nil"/>
              <w:right w:val="nil"/>
            </w:tcBorders>
            <w:shd w:val="clear" w:color="auto" w:fill="auto"/>
            <w:noWrap/>
            <w:vAlign w:val="center"/>
            <w:hideMark/>
          </w:tcPr>
          <w:p w14:paraId="397F3C9A" w14:textId="1D109870" w:rsidR="006435A2" w:rsidRPr="00192227" w:rsidRDefault="006435A2" w:rsidP="006435A2">
            <w:pPr>
              <w:rPr>
                <w:rFonts w:asciiTheme="minorHAnsi" w:eastAsia="Times New Roman" w:hAnsiTheme="minorHAnsi"/>
                <w:color w:val="000000"/>
              </w:rPr>
            </w:pPr>
            <w:r w:rsidRPr="00192227">
              <w:rPr>
                <w:rFonts w:asciiTheme="minorHAnsi" w:eastAsia="Times New Roman" w:hAnsiTheme="minorHAnsi"/>
                <w:color w:val="000000"/>
              </w:rPr>
              <w:t>Plant Science</w:t>
            </w:r>
          </w:p>
        </w:tc>
        <w:tc>
          <w:tcPr>
            <w:tcW w:w="1794" w:type="dxa"/>
            <w:tcBorders>
              <w:top w:val="nil"/>
              <w:left w:val="nil"/>
              <w:bottom w:val="nil"/>
              <w:right w:val="nil"/>
            </w:tcBorders>
            <w:shd w:val="clear" w:color="auto" w:fill="auto"/>
            <w:noWrap/>
            <w:vAlign w:val="center"/>
            <w:hideMark/>
          </w:tcPr>
          <w:p w14:paraId="6144B2AA" w14:textId="77A32841" w:rsidR="006435A2" w:rsidRPr="00192227" w:rsidRDefault="006435A2" w:rsidP="006435A2">
            <w:pPr>
              <w:jc w:val="right"/>
              <w:rPr>
                <w:rFonts w:asciiTheme="minorHAnsi" w:eastAsia="Times New Roman" w:hAnsiTheme="minorHAnsi"/>
                <w:color w:val="000000"/>
              </w:rPr>
            </w:pPr>
            <w:r>
              <w:rPr>
                <w:rFonts w:ascii="Baskerville" w:hAnsi="Baskerville" w:cs="Calibri"/>
                <w:color w:val="000000"/>
              </w:rPr>
              <w:t xml:space="preserve">                  16.7 </w:t>
            </w:r>
          </w:p>
        </w:tc>
        <w:tc>
          <w:tcPr>
            <w:tcW w:w="1608" w:type="dxa"/>
            <w:tcBorders>
              <w:top w:val="nil"/>
              <w:left w:val="nil"/>
              <w:bottom w:val="nil"/>
              <w:right w:val="nil"/>
            </w:tcBorders>
            <w:vAlign w:val="center"/>
          </w:tcPr>
          <w:p w14:paraId="189AB9D1" w14:textId="0B9871D9" w:rsidR="006435A2" w:rsidRPr="00192227" w:rsidRDefault="006435A2" w:rsidP="006435A2">
            <w:pPr>
              <w:jc w:val="center"/>
              <w:rPr>
                <w:rFonts w:asciiTheme="minorHAnsi" w:eastAsia="Times New Roman" w:hAnsiTheme="minorHAnsi"/>
                <w:color w:val="000000"/>
              </w:rPr>
            </w:pPr>
            <w:r>
              <w:rPr>
                <w:rFonts w:ascii="Baskerville" w:hAnsi="Baskerville" w:cs="Calibri"/>
                <w:color w:val="000000"/>
              </w:rPr>
              <w:t>19.2%</w:t>
            </w:r>
          </w:p>
        </w:tc>
      </w:tr>
      <w:tr w:rsidR="006435A2" w:rsidRPr="00192227" w14:paraId="46433E9D" w14:textId="77777777" w:rsidTr="006435A2">
        <w:trPr>
          <w:trHeight w:val="340"/>
        </w:trPr>
        <w:tc>
          <w:tcPr>
            <w:tcW w:w="4140" w:type="dxa"/>
            <w:tcBorders>
              <w:top w:val="nil"/>
              <w:left w:val="nil"/>
              <w:bottom w:val="single" w:sz="8" w:space="0" w:color="auto"/>
              <w:right w:val="nil"/>
            </w:tcBorders>
            <w:shd w:val="clear" w:color="auto" w:fill="auto"/>
            <w:noWrap/>
            <w:vAlign w:val="center"/>
            <w:hideMark/>
          </w:tcPr>
          <w:p w14:paraId="2A22FB22" w14:textId="51508B55" w:rsidR="006435A2" w:rsidRPr="00192227" w:rsidRDefault="006435A2" w:rsidP="006435A2">
            <w:pPr>
              <w:rPr>
                <w:rFonts w:asciiTheme="minorHAnsi" w:eastAsia="Times New Roman" w:hAnsiTheme="minorHAnsi"/>
                <w:color w:val="000000" w:themeColor="text1"/>
              </w:rPr>
            </w:pPr>
            <w:r w:rsidRPr="00192227">
              <w:rPr>
                <w:rFonts w:asciiTheme="minorHAnsi" w:eastAsia="Times New Roman" w:hAnsiTheme="minorHAnsi"/>
                <w:color w:val="000000" w:themeColor="text1"/>
              </w:rPr>
              <w:t xml:space="preserve">Biotechnology </w:t>
            </w:r>
          </w:p>
        </w:tc>
        <w:tc>
          <w:tcPr>
            <w:tcW w:w="1794" w:type="dxa"/>
            <w:tcBorders>
              <w:top w:val="nil"/>
              <w:left w:val="nil"/>
              <w:bottom w:val="single" w:sz="8" w:space="0" w:color="auto"/>
              <w:right w:val="nil"/>
            </w:tcBorders>
            <w:shd w:val="clear" w:color="auto" w:fill="auto"/>
            <w:noWrap/>
            <w:vAlign w:val="center"/>
            <w:hideMark/>
          </w:tcPr>
          <w:p w14:paraId="1B0915CE" w14:textId="28F336D8" w:rsidR="006435A2" w:rsidRPr="00192227" w:rsidRDefault="006435A2" w:rsidP="006435A2">
            <w:pPr>
              <w:jc w:val="right"/>
              <w:rPr>
                <w:rFonts w:asciiTheme="minorHAnsi" w:eastAsia="Times New Roman" w:hAnsiTheme="minorHAnsi"/>
                <w:color w:val="000000" w:themeColor="text1"/>
              </w:rPr>
            </w:pPr>
            <w:r>
              <w:rPr>
                <w:rFonts w:ascii="Baskerville" w:hAnsi="Baskerville" w:cs="Calibri"/>
                <w:color w:val="000000"/>
              </w:rPr>
              <w:t xml:space="preserve">                    0.2 </w:t>
            </w:r>
          </w:p>
        </w:tc>
        <w:tc>
          <w:tcPr>
            <w:tcW w:w="1608" w:type="dxa"/>
            <w:tcBorders>
              <w:top w:val="nil"/>
              <w:left w:val="nil"/>
              <w:bottom w:val="single" w:sz="8" w:space="0" w:color="auto"/>
              <w:right w:val="nil"/>
            </w:tcBorders>
            <w:vAlign w:val="center"/>
          </w:tcPr>
          <w:p w14:paraId="1A4680C9" w14:textId="2CAFD427" w:rsidR="006435A2" w:rsidRPr="00192227" w:rsidRDefault="006435A2" w:rsidP="006435A2">
            <w:pPr>
              <w:jc w:val="center"/>
              <w:rPr>
                <w:rFonts w:asciiTheme="minorHAnsi" w:eastAsia="Times New Roman" w:hAnsiTheme="minorHAnsi"/>
                <w:color w:val="000000" w:themeColor="text1"/>
              </w:rPr>
            </w:pPr>
            <w:r>
              <w:rPr>
                <w:rFonts w:ascii="Baskerville" w:hAnsi="Baskerville" w:cs="Calibri"/>
                <w:color w:val="000000"/>
              </w:rPr>
              <w:t>0.3%</w:t>
            </w:r>
          </w:p>
        </w:tc>
      </w:tr>
      <w:tr w:rsidR="006435A2" w:rsidRPr="00192227" w14:paraId="137E9201" w14:textId="77777777" w:rsidTr="006435A2">
        <w:trPr>
          <w:trHeight w:val="304"/>
        </w:trPr>
        <w:tc>
          <w:tcPr>
            <w:tcW w:w="4140" w:type="dxa"/>
            <w:tcBorders>
              <w:top w:val="single" w:sz="8" w:space="0" w:color="auto"/>
              <w:left w:val="nil"/>
              <w:bottom w:val="single" w:sz="4" w:space="0" w:color="auto"/>
              <w:right w:val="nil"/>
            </w:tcBorders>
            <w:shd w:val="clear" w:color="auto" w:fill="auto"/>
            <w:noWrap/>
            <w:vAlign w:val="center"/>
            <w:hideMark/>
          </w:tcPr>
          <w:p w14:paraId="1CC5F197" w14:textId="25A890C0" w:rsidR="006435A2" w:rsidRPr="00192227" w:rsidRDefault="006435A2" w:rsidP="00192227">
            <w:pPr>
              <w:jc w:val="right"/>
              <w:rPr>
                <w:rFonts w:asciiTheme="minorHAnsi" w:eastAsia="Times New Roman" w:hAnsiTheme="minorHAnsi"/>
                <w:color w:val="000000" w:themeColor="text1"/>
              </w:rPr>
            </w:pPr>
            <w:r w:rsidRPr="00192227">
              <w:rPr>
                <w:rFonts w:asciiTheme="minorHAnsi" w:eastAsia="Times New Roman" w:hAnsiTheme="minorHAnsi"/>
                <w:color w:val="000000" w:themeColor="text1"/>
              </w:rPr>
              <w:t>Total SAE Interest</w:t>
            </w:r>
          </w:p>
        </w:tc>
        <w:tc>
          <w:tcPr>
            <w:tcW w:w="1794" w:type="dxa"/>
            <w:tcBorders>
              <w:top w:val="single" w:sz="8" w:space="0" w:color="auto"/>
              <w:left w:val="nil"/>
              <w:bottom w:val="single" w:sz="4" w:space="0" w:color="auto"/>
              <w:right w:val="nil"/>
            </w:tcBorders>
            <w:shd w:val="clear" w:color="auto" w:fill="auto"/>
            <w:noWrap/>
            <w:vAlign w:val="bottom"/>
            <w:hideMark/>
          </w:tcPr>
          <w:p w14:paraId="70D1FE8D" w14:textId="2DF7AE59" w:rsidR="006435A2" w:rsidRPr="00192227" w:rsidRDefault="006435A2" w:rsidP="00192227">
            <w:pPr>
              <w:jc w:val="right"/>
              <w:rPr>
                <w:rFonts w:asciiTheme="minorHAnsi" w:eastAsia="Times New Roman" w:hAnsiTheme="minorHAnsi"/>
                <w:color w:val="000000" w:themeColor="text1"/>
              </w:rPr>
            </w:pPr>
            <w:r w:rsidRPr="00192227">
              <w:rPr>
                <w:rFonts w:asciiTheme="minorHAnsi" w:hAnsiTheme="minorHAnsi" w:cs="Calibri"/>
                <w:color w:val="000000" w:themeColor="text1"/>
              </w:rPr>
              <w:t xml:space="preserve">           115.90 </w:t>
            </w:r>
          </w:p>
        </w:tc>
        <w:tc>
          <w:tcPr>
            <w:tcW w:w="1608" w:type="dxa"/>
            <w:tcBorders>
              <w:top w:val="single" w:sz="8" w:space="0" w:color="auto"/>
              <w:left w:val="nil"/>
              <w:bottom w:val="single" w:sz="4" w:space="0" w:color="auto"/>
              <w:right w:val="nil"/>
            </w:tcBorders>
            <w:vAlign w:val="bottom"/>
          </w:tcPr>
          <w:p w14:paraId="03DCCD7F" w14:textId="77777777" w:rsidR="006435A2" w:rsidRPr="00192227" w:rsidRDefault="006435A2" w:rsidP="00192227">
            <w:pPr>
              <w:jc w:val="center"/>
              <w:rPr>
                <w:rFonts w:asciiTheme="minorHAnsi" w:eastAsia="Times New Roman" w:hAnsiTheme="minorHAnsi"/>
                <w:color w:val="000000" w:themeColor="text1"/>
              </w:rPr>
            </w:pPr>
          </w:p>
        </w:tc>
      </w:tr>
    </w:tbl>
    <w:p w14:paraId="1D0BC685" w14:textId="6D21BC58" w:rsidR="00496EE8" w:rsidRPr="00192227" w:rsidRDefault="00496EE8" w:rsidP="00192227">
      <w:pPr>
        <w:pStyle w:val="BodyText"/>
        <w:spacing w:after="0"/>
        <w:rPr>
          <w:rFonts w:ascii="Baskerville Old Face" w:hAnsi="Baskerville Old Face"/>
          <w:color w:val="000000" w:themeColor="text1"/>
          <w:sz w:val="24"/>
          <w:szCs w:val="24"/>
        </w:rPr>
      </w:pPr>
    </w:p>
    <w:p w14:paraId="5897939A" w14:textId="178695C0" w:rsidR="006435A2" w:rsidRDefault="00972E60" w:rsidP="00192227">
      <w:pPr>
        <w:pStyle w:val="BodyText"/>
        <w:spacing w:after="0"/>
        <w:rPr>
          <w:rFonts w:ascii="Baskerville Old Face" w:hAnsi="Baskerville Old Face"/>
          <w:color w:val="000000" w:themeColor="text1"/>
          <w:sz w:val="24"/>
          <w:szCs w:val="24"/>
        </w:rPr>
      </w:pPr>
      <w:r w:rsidRPr="00192227">
        <w:rPr>
          <w:rFonts w:ascii="Baskerville Old Face" w:hAnsi="Baskerville Old Face"/>
          <w:color w:val="000000" w:themeColor="text1"/>
          <w:sz w:val="24"/>
          <w:szCs w:val="24"/>
        </w:rPr>
        <w:t xml:space="preserve">As </w:t>
      </w:r>
      <w:r w:rsidR="007B5DB7" w:rsidRPr="00192227">
        <w:rPr>
          <w:rFonts w:ascii="Baskerville Old Face" w:hAnsi="Baskerville Old Face"/>
          <w:color w:val="000000" w:themeColor="text1"/>
          <w:sz w:val="24"/>
          <w:szCs w:val="24"/>
        </w:rPr>
        <w:t xml:space="preserve">illustrated </w:t>
      </w:r>
      <w:r w:rsidRPr="00192227">
        <w:rPr>
          <w:rFonts w:ascii="Baskerville Old Face" w:hAnsi="Baskerville Old Face"/>
          <w:color w:val="000000" w:themeColor="text1"/>
          <w:sz w:val="24"/>
          <w:szCs w:val="24"/>
        </w:rPr>
        <w:t xml:space="preserve">in Table </w:t>
      </w:r>
      <w:r w:rsidR="006435A2">
        <w:rPr>
          <w:rFonts w:ascii="Baskerville Old Face" w:hAnsi="Baskerville Old Face"/>
          <w:color w:val="000000" w:themeColor="text1"/>
          <w:sz w:val="24"/>
          <w:szCs w:val="24"/>
        </w:rPr>
        <w:t>3</w:t>
      </w:r>
      <w:r w:rsidRPr="00192227">
        <w:rPr>
          <w:rFonts w:ascii="Baskerville Old Face" w:hAnsi="Baskerville Old Face"/>
          <w:color w:val="000000" w:themeColor="text1"/>
          <w:sz w:val="24"/>
          <w:szCs w:val="24"/>
        </w:rPr>
        <w:t xml:space="preserve">, </w:t>
      </w:r>
      <w:r w:rsidR="006435A2">
        <w:rPr>
          <w:rFonts w:ascii="Baskerville Old Face" w:hAnsi="Baskerville Old Face"/>
          <w:color w:val="000000" w:themeColor="text1"/>
          <w:sz w:val="24"/>
          <w:szCs w:val="24"/>
        </w:rPr>
        <w:t>A</w:t>
      </w:r>
      <w:r w:rsidRPr="00192227">
        <w:rPr>
          <w:rFonts w:ascii="Baskerville Old Face" w:hAnsi="Baskerville Old Face"/>
          <w:color w:val="000000" w:themeColor="text1"/>
          <w:sz w:val="24"/>
          <w:szCs w:val="24"/>
        </w:rPr>
        <w:t xml:space="preserve">nimal </w:t>
      </w:r>
      <w:r w:rsidR="006435A2">
        <w:rPr>
          <w:rFonts w:ascii="Baskerville Old Face" w:hAnsi="Baskerville Old Face"/>
          <w:color w:val="000000" w:themeColor="text1"/>
          <w:sz w:val="24"/>
          <w:szCs w:val="24"/>
        </w:rPr>
        <w:t>S</w:t>
      </w:r>
      <w:r w:rsidRPr="00192227">
        <w:rPr>
          <w:rFonts w:ascii="Baskerville Old Face" w:hAnsi="Baskerville Old Face"/>
          <w:color w:val="000000" w:themeColor="text1"/>
          <w:sz w:val="24"/>
          <w:szCs w:val="24"/>
        </w:rPr>
        <w:t>ystems</w:t>
      </w:r>
      <w:r w:rsidR="006435A2">
        <w:rPr>
          <w:rFonts w:ascii="Baskerville Old Face" w:hAnsi="Baskerville Old Face"/>
          <w:color w:val="000000" w:themeColor="text1"/>
          <w:sz w:val="24"/>
          <w:szCs w:val="24"/>
        </w:rPr>
        <w:t xml:space="preserve"> (47%)</w:t>
      </w:r>
      <w:r w:rsidRPr="00192227">
        <w:rPr>
          <w:rFonts w:ascii="Baskerville Old Face" w:hAnsi="Baskerville Old Face"/>
          <w:color w:val="000000" w:themeColor="text1"/>
          <w:sz w:val="24"/>
          <w:szCs w:val="24"/>
        </w:rPr>
        <w:t xml:space="preserve"> </w:t>
      </w:r>
      <w:r w:rsidR="006435A2">
        <w:rPr>
          <w:rFonts w:ascii="Baskerville Old Face" w:hAnsi="Baskerville Old Face"/>
          <w:color w:val="000000" w:themeColor="text1"/>
          <w:sz w:val="24"/>
          <w:szCs w:val="24"/>
        </w:rPr>
        <w:t>continually is</w:t>
      </w:r>
      <w:r w:rsidR="00827AFE" w:rsidRPr="00192227">
        <w:rPr>
          <w:rFonts w:ascii="Baskerville Old Face" w:hAnsi="Baskerville Old Face"/>
          <w:color w:val="000000" w:themeColor="text1"/>
          <w:sz w:val="24"/>
          <w:szCs w:val="24"/>
        </w:rPr>
        <w:t xml:space="preserve"> </w:t>
      </w:r>
      <w:r w:rsidRPr="00192227">
        <w:rPr>
          <w:rFonts w:ascii="Baskerville Old Face" w:hAnsi="Baskerville Old Face"/>
          <w:color w:val="000000" w:themeColor="text1"/>
          <w:sz w:val="24"/>
          <w:szCs w:val="24"/>
        </w:rPr>
        <w:t xml:space="preserve">the most </w:t>
      </w:r>
      <w:r w:rsidR="006435A2">
        <w:rPr>
          <w:rFonts w:ascii="Baskerville Old Face" w:hAnsi="Baskerville Old Face"/>
          <w:color w:val="000000" w:themeColor="text1"/>
          <w:sz w:val="24"/>
          <w:szCs w:val="24"/>
        </w:rPr>
        <w:t>common</w:t>
      </w:r>
      <w:r w:rsidRPr="00192227">
        <w:rPr>
          <w:rFonts w:ascii="Baskerville Old Face" w:hAnsi="Baskerville Old Face"/>
          <w:color w:val="000000" w:themeColor="text1"/>
          <w:sz w:val="24"/>
          <w:szCs w:val="24"/>
        </w:rPr>
        <w:t xml:space="preserve"> SAE area with other areas </w:t>
      </w:r>
      <w:proofErr w:type="gramStart"/>
      <w:r w:rsidR="006435A2">
        <w:rPr>
          <w:rFonts w:ascii="Baskerville Old Face" w:hAnsi="Baskerville Old Face"/>
          <w:color w:val="000000" w:themeColor="text1"/>
          <w:sz w:val="24"/>
          <w:szCs w:val="24"/>
        </w:rPr>
        <w:t>listing  lower</w:t>
      </w:r>
      <w:proofErr w:type="gramEnd"/>
      <w:r w:rsidR="006435A2">
        <w:rPr>
          <w:rFonts w:ascii="Baskerville Old Face" w:hAnsi="Baskerville Old Face"/>
          <w:color w:val="000000" w:themeColor="text1"/>
          <w:sz w:val="24"/>
          <w:szCs w:val="24"/>
        </w:rPr>
        <w:t xml:space="preserve"> enrollment</w:t>
      </w:r>
      <w:r w:rsidRPr="00192227">
        <w:rPr>
          <w:rFonts w:ascii="Baskerville Old Face" w:hAnsi="Baskerville Old Face"/>
          <w:color w:val="000000" w:themeColor="text1"/>
          <w:sz w:val="24"/>
          <w:szCs w:val="24"/>
        </w:rPr>
        <w:t xml:space="preserve">.  </w:t>
      </w:r>
      <w:r w:rsidR="006435A2">
        <w:rPr>
          <w:rFonts w:ascii="Baskerville Old Face" w:hAnsi="Baskerville Old Face"/>
          <w:color w:val="000000" w:themeColor="text1"/>
          <w:sz w:val="24"/>
          <w:szCs w:val="24"/>
        </w:rPr>
        <w:t xml:space="preserve">A recent addition to keeping records on SAEs is the connecting of academic skills as student </w:t>
      </w:r>
      <w:r w:rsidR="006435A2">
        <w:rPr>
          <w:rFonts w:ascii="Baskerville Old Face" w:hAnsi="Baskerville Old Face"/>
          <w:color w:val="000000" w:themeColor="text1"/>
          <w:sz w:val="24"/>
          <w:szCs w:val="24"/>
        </w:rPr>
        <w:lastRenderedPageBreak/>
        <w:t xml:space="preserve">journal learning experiences.  Table 4 illustrates the numbers of document skills gained from SAE projects by content area as well as a national estimate of exhibited skills from involvement in SAE experiences. </w:t>
      </w:r>
    </w:p>
    <w:p w14:paraId="212BA3BF" w14:textId="086701F3" w:rsidR="006435A2" w:rsidRDefault="006435A2" w:rsidP="00192227">
      <w:pPr>
        <w:pStyle w:val="BodyText"/>
        <w:spacing w:after="0"/>
        <w:rPr>
          <w:rFonts w:ascii="Baskerville Old Face" w:hAnsi="Baskerville Old Face"/>
          <w:color w:val="000000" w:themeColor="text1"/>
          <w:sz w:val="24"/>
          <w:szCs w:val="24"/>
        </w:rPr>
      </w:pPr>
    </w:p>
    <w:p w14:paraId="28F21208" w14:textId="241D6713" w:rsidR="006435A2" w:rsidRPr="00192227" w:rsidRDefault="006435A2" w:rsidP="006435A2">
      <w:pPr>
        <w:pStyle w:val="BodyText"/>
        <w:spacing w:after="0"/>
        <w:rPr>
          <w:rFonts w:ascii="Baskerville" w:hAnsi="Baskerville"/>
        </w:rPr>
      </w:pPr>
      <w:r w:rsidRPr="00192227">
        <w:rPr>
          <w:rFonts w:ascii="Baskerville" w:hAnsi="Baskerville" w:cs="Times New Roman"/>
          <w:sz w:val="24"/>
          <w:szCs w:val="24"/>
        </w:rPr>
        <w:t xml:space="preserve">Table </w:t>
      </w:r>
      <w:r>
        <w:rPr>
          <w:rFonts w:ascii="Baskerville" w:hAnsi="Baskerville" w:cs="Times New Roman"/>
          <w:sz w:val="24"/>
          <w:szCs w:val="24"/>
        </w:rPr>
        <w:t>4</w:t>
      </w:r>
      <w:r w:rsidRPr="00192227">
        <w:rPr>
          <w:rFonts w:ascii="Baskerville" w:hAnsi="Baskerville" w:cs="Times New Roman"/>
          <w:sz w:val="24"/>
          <w:szCs w:val="24"/>
        </w:rPr>
        <w:t xml:space="preserve"> Student SAE </w:t>
      </w:r>
      <w:r>
        <w:rPr>
          <w:rFonts w:ascii="Baskerville" w:hAnsi="Baskerville" w:cs="Times New Roman"/>
          <w:sz w:val="24"/>
          <w:szCs w:val="24"/>
        </w:rPr>
        <w:t>Skills</w:t>
      </w:r>
      <w:r w:rsidRPr="00192227">
        <w:rPr>
          <w:rFonts w:ascii="Baskerville" w:hAnsi="Baskerville" w:cs="Times New Roman"/>
          <w:sz w:val="24"/>
          <w:szCs w:val="24"/>
        </w:rPr>
        <w:t xml:space="preserve"> by </w:t>
      </w:r>
      <w:r>
        <w:rPr>
          <w:rFonts w:ascii="Baskerville" w:hAnsi="Baskerville" w:cs="Times New Roman"/>
          <w:sz w:val="24"/>
          <w:szCs w:val="24"/>
        </w:rPr>
        <w:t xml:space="preserve">Academic </w:t>
      </w:r>
      <w:r w:rsidRPr="00192227">
        <w:rPr>
          <w:rFonts w:ascii="Baskerville" w:hAnsi="Baskerville" w:cs="Times New Roman"/>
          <w:sz w:val="24"/>
          <w:szCs w:val="24"/>
        </w:rPr>
        <w:t>Area (n=4,</w:t>
      </w:r>
      <w:r>
        <w:rPr>
          <w:rFonts w:ascii="Baskerville" w:hAnsi="Baskerville" w:cs="Times New Roman"/>
          <w:sz w:val="24"/>
          <w:szCs w:val="24"/>
        </w:rPr>
        <w:t>423</w:t>
      </w:r>
      <w:r w:rsidRPr="00192227">
        <w:rPr>
          <w:rFonts w:ascii="Baskerville" w:hAnsi="Baskerville" w:cs="Times New Roman"/>
          <w:sz w:val="24"/>
          <w:szCs w:val="24"/>
        </w:rPr>
        <w:t>)</w:t>
      </w:r>
    </w:p>
    <w:tbl>
      <w:tblPr>
        <w:tblW w:w="9990" w:type="dxa"/>
        <w:tblLayout w:type="fixed"/>
        <w:tblLook w:val="04A0" w:firstRow="1" w:lastRow="0" w:firstColumn="1" w:lastColumn="0" w:noHBand="0" w:noVBand="1"/>
      </w:tblPr>
      <w:tblGrid>
        <w:gridCol w:w="4770"/>
        <w:gridCol w:w="1800"/>
        <w:gridCol w:w="1440"/>
        <w:gridCol w:w="1980"/>
      </w:tblGrid>
      <w:tr w:rsidR="008277AA" w:rsidRPr="00192227" w14:paraId="3720598C" w14:textId="68ADE5AD" w:rsidTr="008277AA">
        <w:trPr>
          <w:trHeight w:val="340"/>
        </w:trPr>
        <w:tc>
          <w:tcPr>
            <w:tcW w:w="4770" w:type="dxa"/>
            <w:tcBorders>
              <w:top w:val="single" w:sz="8" w:space="0" w:color="auto"/>
              <w:left w:val="nil"/>
              <w:bottom w:val="single" w:sz="8" w:space="0" w:color="auto"/>
              <w:right w:val="nil"/>
            </w:tcBorders>
            <w:shd w:val="clear" w:color="auto" w:fill="auto"/>
            <w:noWrap/>
            <w:vAlign w:val="center"/>
            <w:hideMark/>
          </w:tcPr>
          <w:p w14:paraId="69AA8B5B" w14:textId="14DA42D5" w:rsidR="008277AA" w:rsidRPr="006435A2" w:rsidRDefault="008277AA" w:rsidP="008277AA">
            <w:pPr>
              <w:rPr>
                <w:rFonts w:ascii="Baskerville" w:hAnsi="Baskerville"/>
              </w:rPr>
            </w:pPr>
            <w:r w:rsidRPr="006435A2">
              <w:rPr>
                <w:rFonts w:ascii="Baskerville" w:hAnsi="Baskerville"/>
              </w:rPr>
              <w:t>SAE Descriptive Area</w:t>
            </w:r>
          </w:p>
        </w:tc>
        <w:tc>
          <w:tcPr>
            <w:tcW w:w="1800" w:type="dxa"/>
            <w:tcBorders>
              <w:top w:val="single" w:sz="8" w:space="0" w:color="auto"/>
              <w:left w:val="nil"/>
              <w:bottom w:val="single" w:sz="8" w:space="0" w:color="auto"/>
              <w:right w:val="nil"/>
            </w:tcBorders>
            <w:shd w:val="clear" w:color="auto" w:fill="auto"/>
            <w:noWrap/>
            <w:vAlign w:val="bottom"/>
            <w:hideMark/>
          </w:tcPr>
          <w:p w14:paraId="77C20C74" w14:textId="79D87C3B" w:rsidR="008277AA" w:rsidRPr="006435A2" w:rsidRDefault="008277AA" w:rsidP="008277AA">
            <w:pPr>
              <w:jc w:val="center"/>
              <w:rPr>
                <w:rFonts w:ascii="Baskerville" w:hAnsi="Baskerville"/>
              </w:rPr>
            </w:pPr>
            <w:r w:rsidRPr="006435A2">
              <w:rPr>
                <w:rFonts w:ascii="Baskerville" w:hAnsi="Baskerville"/>
              </w:rPr>
              <w:t>Mean Program Value (2019)</w:t>
            </w:r>
          </w:p>
        </w:tc>
        <w:tc>
          <w:tcPr>
            <w:tcW w:w="1440" w:type="dxa"/>
            <w:tcBorders>
              <w:top w:val="single" w:sz="8" w:space="0" w:color="auto"/>
              <w:left w:val="nil"/>
              <w:bottom w:val="single" w:sz="8" w:space="0" w:color="auto"/>
              <w:right w:val="nil"/>
            </w:tcBorders>
            <w:vAlign w:val="bottom"/>
          </w:tcPr>
          <w:p w14:paraId="6A64C682" w14:textId="49DB9532" w:rsidR="008277AA" w:rsidRPr="006435A2" w:rsidRDefault="008277AA" w:rsidP="008277AA">
            <w:pPr>
              <w:jc w:val="center"/>
              <w:rPr>
                <w:rFonts w:ascii="Baskerville" w:hAnsi="Baskerville"/>
              </w:rPr>
            </w:pPr>
            <w:r w:rsidRPr="006435A2">
              <w:rPr>
                <w:rFonts w:ascii="Baskerville" w:hAnsi="Baskerville"/>
              </w:rPr>
              <w:t>% Value per Program</w:t>
            </w:r>
          </w:p>
        </w:tc>
        <w:tc>
          <w:tcPr>
            <w:tcW w:w="1980" w:type="dxa"/>
            <w:tcBorders>
              <w:top w:val="single" w:sz="8" w:space="0" w:color="auto"/>
              <w:left w:val="nil"/>
              <w:bottom w:val="single" w:sz="8" w:space="0" w:color="auto"/>
              <w:right w:val="nil"/>
            </w:tcBorders>
          </w:tcPr>
          <w:p w14:paraId="72511176" w14:textId="4DA7A54B" w:rsidR="008277AA" w:rsidRPr="006435A2" w:rsidRDefault="008277AA" w:rsidP="008277AA">
            <w:pPr>
              <w:jc w:val="center"/>
              <w:rPr>
                <w:rFonts w:ascii="Baskerville" w:hAnsi="Baskerville"/>
              </w:rPr>
            </w:pPr>
            <w:r w:rsidRPr="008277AA">
              <w:rPr>
                <w:rFonts w:ascii="Baskerville" w:hAnsi="Baskerville"/>
              </w:rPr>
              <w:t>2019 National Value (N=8,739)</w:t>
            </w:r>
          </w:p>
        </w:tc>
      </w:tr>
      <w:tr w:rsidR="008277AA" w:rsidRPr="00192227" w14:paraId="63C62925" w14:textId="2B17C01F" w:rsidTr="008277AA">
        <w:trPr>
          <w:trHeight w:val="340"/>
        </w:trPr>
        <w:tc>
          <w:tcPr>
            <w:tcW w:w="4770" w:type="dxa"/>
            <w:tcBorders>
              <w:top w:val="nil"/>
              <w:left w:val="nil"/>
              <w:bottom w:val="nil"/>
              <w:right w:val="nil"/>
            </w:tcBorders>
            <w:shd w:val="clear" w:color="auto" w:fill="auto"/>
            <w:noWrap/>
            <w:hideMark/>
          </w:tcPr>
          <w:p w14:paraId="6F180E0C" w14:textId="3C76C6B3" w:rsidR="008277AA" w:rsidRPr="006435A2" w:rsidRDefault="008277AA" w:rsidP="008277AA">
            <w:pPr>
              <w:rPr>
                <w:rFonts w:ascii="Baskerville" w:hAnsi="Baskerville"/>
              </w:rPr>
            </w:pPr>
            <w:r w:rsidRPr="006435A2">
              <w:rPr>
                <w:rFonts w:ascii="Baskerville" w:hAnsi="Baskerville"/>
              </w:rPr>
              <w:t xml:space="preserve"> AFNR Aligned Agribusiness  </w:t>
            </w:r>
          </w:p>
        </w:tc>
        <w:tc>
          <w:tcPr>
            <w:tcW w:w="1800" w:type="dxa"/>
            <w:tcBorders>
              <w:top w:val="nil"/>
              <w:left w:val="nil"/>
              <w:bottom w:val="nil"/>
              <w:right w:val="nil"/>
            </w:tcBorders>
            <w:shd w:val="clear" w:color="auto" w:fill="auto"/>
            <w:noWrap/>
            <w:hideMark/>
          </w:tcPr>
          <w:p w14:paraId="08DFD96D" w14:textId="329D94B9" w:rsidR="008277AA" w:rsidRPr="006435A2" w:rsidRDefault="008277AA" w:rsidP="008277AA">
            <w:pPr>
              <w:jc w:val="center"/>
              <w:rPr>
                <w:rFonts w:ascii="Baskerville" w:hAnsi="Baskerville"/>
              </w:rPr>
            </w:pPr>
            <w:r w:rsidRPr="006435A2">
              <w:rPr>
                <w:rFonts w:ascii="Baskerville" w:hAnsi="Baskerville"/>
              </w:rPr>
              <w:t>21.37</w:t>
            </w:r>
          </w:p>
        </w:tc>
        <w:tc>
          <w:tcPr>
            <w:tcW w:w="1440" w:type="dxa"/>
            <w:tcBorders>
              <w:top w:val="nil"/>
              <w:left w:val="nil"/>
              <w:bottom w:val="nil"/>
              <w:right w:val="nil"/>
            </w:tcBorders>
          </w:tcPr>
          <w:p w14:paraId="0EA4CFD7" w14:textId="55948558" w:rsidR="008277AA" w:rsidRPr="006435A2" w:rsidRDefault="008277AA" w:rsidP="008277AA">
            <w:pPr>
              <w:jc w:val="center"/>
              <w:rPr>
                <w:rFonts w:ascii="Baskerville" w:hAnsi="Baskerville"/>
              </w:rPr>
            </w:pPr>
            <w:r w:rsidRPr="006435A2">
              <w:rPr>
                <w:rFonts w:ascii="Baskerville" w:hAnsi="Baskerville"/>
              </w:rPr>
              <w:t>3.2%</w:t>
            </w:r>
          </w:p>
        </w:tc>
        <w:tc>
          <w:tcPr>
            <w:tcW w:w="1980" w:type="dxa"/>
            <w:tcBorders>
              <w:top w:val="nil"/>
              <w:left w:val="nil"/>
              <w:bottom w:val="nil"/>
              <w:right w:val="nil"/>
            </w:tcBorders>
          </w:tcPr>
          <w:p w14:paraId="49324099" w14:textId="337D1234" w:rsidR="008277AA" w:rsidRPr="006435A2" w:rsidRDefault="008277AA" w:rsidP="008277AA">
            <w:pPr>
              <w:jc w:val="center"/>
              <w:rPr>
                <w:rFonts w:ascii="Baskerville" w:hAnsi="Baskerville"/>
              </w:rPr>
            </w:pPr>
            <w:r w:rsidRPr="008277AA">
              <w:rPr>
                <w:rFonts w:ascii="Baskerville" w:hAnsi="Baskerville"/>
              </w:rPr>
              <w:t xml:space="preserve"> 186,765 </w:t>
            </w:r>
          </w:p>
        </w:tc>
      </w:tr>
      <w:tr w:rsidR="008277AA" w:rsidRPr="00192227" w14:paraId="0717D860" w14:textId="27E51788" w:rsidTr="008277AA">
        <w:trPr>
          <w:trHeight w:val="320"/>
        </w:trPr>
        <w:tc>
          <w:tcPr>
            <w:tcW w:w="4770" w:type="dxa"/>
            <w:tcBorders>
              <w:top w:val="nil"/>
              <w:left w:val="nil"/>
              <w:bottom w:val="nil"/>
              <w:right w:val="nil"/>
            </w:tcBorders>
            <w:shd w:val="clear" w:color="auto" w:fill="auto"/>
            <w:noWrap/>
            <w:hideMark/>
          </w:tcPr>
          <w:p w14:paraId="44255991" w14:textId="671482B8" w:rsidR="008277AA" w:rsidRPr="006435A2" w:rsidRDefault="008277AA" w:rsidP="008277AA">
            <w:pPr>
              <w:rPr>
                <w:rFonts w:ascii="Baskerville" w:hAnsi="Baskerville"/>
              </w:rPr>
            </w:pPr>
            <w:r w:rsidRPr="006435A2">
              <w:rPr>
                <w:rFonts w:ascii="Baskerville" w:hAnsi="Baskerville"/>
              </w:rPr>
              <w:t xml:space="preserve"> AFNR Aligned Animal Science  </w:t>
            </w:r>
          </w:p>
        </w:tc>
        <w:tc>
          <w:tcPr>
            <w:tcW w:w="1800" w:type="dxa"/>
            <w:tcBorders>
              <w:top w:val="nil"/>
              <w:left w:val="nil"/>
              <w:bottom w:val="nil"/>
              <w:right w:val="nil"/>
            </w:tcBorders>
            <w:shd w:val="clear" w:color="auto" w:fill="auto"/>
            <w:noWrap/>
            <w:hideMark/>
          </w:tcPr>
          <w:p w14:paraId="67E9E372" w14:textId="7EBAE31B" w:rsidR="008277AA" w:rsidRPr="006435A2" w:rsidRDefault="008277AA" w:rsidP="008277AA">
            <w:pPr>
              <w:jc w:val="center"/>
              <w:rPr>
                <w:rFonts w:ascii="Baskerville" w:hAnsi="Baskerville"/>
              </w:rPr>
            </w:pPr>
            <w:r w:rsidRPr="006435A2">
              <w:rPr>
                <w:rFonts w:ascii="Baskerville" w:hAnsi="Baskerville"/>
              </w:rPr>
              <w:t>328.54</w:t>
            </w:r>
          </w:p>
        </w:tc>
        <w:tc>
          <w:tcPr>
            <w:tcW w:w="1440" w:type="dxa"/>
            <w:tcBorders>
              <w:top w:val="nil"/>
              <w:left w:val="nil"/>
              <w:bottom w:val="nil"/>
              <w:right w:val="nil"/>
            </w:tcBorders>
          </w:tcPr>
          <w:p w14:paraId="12C7691A" w14:textId="5BC5240A" w:rsidR="008277AA" w:rsidRPr="006435A2" w:rsidRDefault="008277AA" w:rsidP="008277AA">
            <w:pPr>
              <w:jc w:val="center"/>
              <w:rPr>
                <w:rFonts w:ascii="Baskerville" w:hAnsi="Baskerville"/>
              </w:rPr>
            </w:pPr>
            <w:r w:rsidRPr="006435A2">
              <w:rPr>
                <w:rFonts w:ascii="Baskerville" w:hAnsi="Baskerville"/>
              </w:rPr>
              <w:t>49.9%</w:t>
            </w:r>
          </w:p>
        </w:tc>
        <w:tc>
          <w:tcPr>
            <w:tcW w:w="1980" w:type="dxa"/>
            <w:tcBorders>
              <w:top w:val="nil"/>
              <w:left w:val="nil"/>
              <w:bottom w:val="nil"/>
              <w:right w:val="nil"/>
            </w:tcBorders>
          </w:tcPr>
          <w:p w14:paraId="1AC4901B" w14:textId="60301FAB" w:rsidR="008277AA" w:rsidRPr="006435A2" w:rsidRDefault="008277AA" w:rsidP="008277AA">
            <w:pPr>
              <w:jc w:val="center"/>
              <w:rPr>
                <w:rFonts w:ascii="Baskerville" w:hAnsi="Baskerville"/>
              </w:rPr>
            </w:pPr>
            <w:r w:rsidRPr="008277AA">
              <w:rPr>
                <w:rFonts w:ascii="Baskerville" w:hAnsi="Baskerville"/>
              </w:rPr>
              <w:t xml:space="preserve"> 2,871,071 </w:t>
            </w:r>
          </w:p>
        </w:tc>
      </w:tr>
      <w:tr w:rsidR="008277AA" w:rsidRPr="00192227" w14:paraId="6F69499F" w14:textId="01D90B2B" w:rsidTr="008277AA">
        <w:trPr>
          <w:trHeight w:val="320"/>
        </w:trPr>
        <w:tc>
          <w:tcPr>
            <w:tcW w:w="4770" w:type="dxa"/>
            <w:tcBorders>
              <w:top w:val="nil"/>
              <w:left w:val="nil"/>
              <w:bottom w:val="nil"/>
              <w:right w:val="nil"/>
            </w:tcBorders>
            <w:shd w:val="clear" w:color="auto" w:fill="auto"/>
            <w:noWrap/>
            <w:hideMark/>
          </w:tcPr>
          <w:p w14:paraId="38D48AC1" w14:textId="0949C5B5" w:rsidR="008277AA" w:rsidRPr="006435A2" w:rsidRDefault="008277AA" w:rsidP="008277AA">
            <w:pPr>
              <w:rPr>
                <w:rFonts w:ascii="Baskerville" w:hAnsi="Baskerville"/>
              </w:rPr>
            </w:pPr>
            <w:r w:rsidRPr="006435A2">
              <w:rPr>
                <w:rFonts w:ascii="Baskerville" w:hAnsi="Baskerville"/>
              </w:rPr>
              <w:t xml:space="preserve"> AFNR Aligned Biotechnology  </w:t>
            </w:r>
          </w:p>
        </w:tc>
        <w:tc>
          <w:tcPr>
            <w:tcW w:w="1800" w:type="dxa"/>
            <w:tcBorders>
              <w:top w:val="nil"/>
              <w:left w:val="nil"/>
              <w:bottom w:val="nil"/>
              <w:right w:val="nil"/>
            </w:tcBorders>
            <w:shd w:val="clear" w:color="auto" w:fill="auto"/>
            <w:noWrap/>
            <w:hideMark/>
          </w:tcPr>
          <w:p w14:paraId="4CDBEA93" w14:textId="5070AF37" w:rsidR="008277AA" w:rsidRPr="006435A2" w:rsidRDefault="008277AA" w:rsidP="008277AA">
            <w:pPr>
              <w:jc w:val="center"/>
              <w:rPr>
                <w:rFonts w:ascii="Baskerville" w:hAnsi="Baskerville"/>
              </w:rPr>
            </w:pPr>
            <w:r w:rsidRPr="006435A2">
              <w:rPr>
                <w:rFonts w:ascii="Baskerville" w:hAnsi="Baskerville"/>
              </w:rPr>
              <w:t>2.42</w:t>
            </w:r>
          </w:p>
        </w:tc>
        <w:tc>
          <w:tcPr>
            <w:tcW w:w="1440" w:type="dxa"/>
            <w:tcBorders>
              <w:top w:val="nil"/>
              <w:left w:val="nil"/>
              <w:bottom w:val="nil"/>
              <w:right w:val="nil"/>
            </w:tcBorders>
          </w:tcPr>
          <w:p w14:paraId="2BC2E8CA" w14:textId="7457B4BB" w:rsidR="008277AA" w:rsidRPr="006435A2" w:rsidRDefault="008277AA" w:rsidP="008277AA">
            <w:pPr>
              <w:jc w:val="center"/>
              <w:rPr>
                <w:rFonts w:ascii="Baskerville" w:hAnsi="Baskerville"/>
              </w:rPr>
            </w:pPr>
            <w:r w:rsidRPr="006435A2">
              <w:rPr>
                <w:rFonts w:ascii="Baskerville" w:hAnsi="Baskerville"/>
              </w:rPr>
              <w:t>0.4%</w:t>
            </w:r>
          </w:p>
        </w:tc>
        <w:tc>
          <w:tcPr>
            <w:tcW w:w="1980" w:type="dxa"/>
            <w:tcBorders>
              <w:top w:val="nil"/>
              <w:left w:val="nil"/>
              <w:bottom w:val="nil"/>
              <w:right w:val="nil"/>
            </w:tcBorders>
          </w:tcPr>
          <w:p w14:paraId="7E8E1C4D" w14:textId="313BC79A" w:rsidR="008277AA" w:rsidRPr="006435A2" w:rsidRDefault="008277AA" w:rsidP="008277AA">
            <w:pPr>
              <w:jc w:val="center"/>
              <w:rPr>
                <w:rFonts w:ascii="Baskerville" w:hAnsi="Baskerville"/>
              </w:rPr>
            </w:pPr>
            <w:r w:rsidRPr="008277AA">
              <w:rPr>
                <w:rFonts w:ascii="Baskerville" w:hAnsi="Baskerville"/>
              </w:rPr>
              <w:t xml:space="preserve"> 21,130 </w:t>
            </w:r>
          </w:p>
        </w:tc>
      </w:tr>
      <w:tr w:rsidR="008277AA" w:rsidRPr="00192227" w14:paraId="0DA39E60" w14:textId="2CE0B235" w:rsidTr="008277AA">
        <w:trPr>
          <w:trHeight w:val="320"/>
        </w:trPr>
        <w:tc>
          <w:tcPr>
            <w:tcW w:w="4770" w:type="dxa"/>
            <w:tcBorders>
              <w:top w:val="nil"/>
              <w:left w:val="nil"/>
              <w:bottom w:val="nil"/>
              <w:right w:val="nil"/>
            </w:tcBorders>
            <w:shd w:val="clear" w:color="auto" w:fill="auto"/>
            <w:noWrap/>
            <w:hideMark/>
          </w:tcPr>
          <w:p w14:paraId="353A5A77" w14:textId="73502176" w:rsidR="008277AA" w:rsidRPr="006435A2" w:rsidRDefault="008277AA" w:rsidP="008277AA">
            <w:pPr>
              <w:rPr>
                <w:rFonts w:ascii="Baskerville" w:hAnsi="Baskerville"/>
              </w:rPr>
            </w:pPr>
            <w:r w:rsidRPr="006435A2">
              <w:rPr>
                <w:rFonts w:ascii="Baskerville" w:hAnsi="Baskerville"/>
              </w:rPr>
              <w:t xml:space="preserve"> AFNR Aligned Career Ready Practices  </w:t>
            </w:r>
          </w:p>
        </w:tc>
        <w:tc>
          <w:tcPr>
            <w:tcW w:w="1800" w:type="dxa"/>
            <w:tcBorders>
              <w:top w:val="nil"/>
              <w:left w:val="nil"/>
              <w:bottom w:val="nil"/>
              <w:right w:val="nil"/>
            </w:tcBorders>
            <w:shd w:val="clear" w:color="auto" w:fill="auto"/>
            <w:noWrap/>
            <w:hideMark/>
          </w:tcPr>
          <w:p w14:paraId="1AAD4AE5" w14:textId="01308655" w:rsidR="008277AA" w:rsidRPr="006435A2" w:rsidRDefault="008277AA" w:rsidP="008277AA">
            <w:pPr>
              <w:jc w:val="center"/>
              <w:rPr>
                <w:rFonts w:ascii="Baskerville" w:hAnsi="Baskerville"/>
              </w:rPr>
            </w:pPr>
            <w:r w:rsidRPr="006435A2">
              <w:rPr>
                <w:rFonts w:ascii="Baskerville" w:hAnsi="Baskerville"/>
              </w:rPr>
              <w:t>107.64</w:t>
            </w:r>
          </w:p>
        </w:tc>
        <w:tc>
          <w:tcPr>
            <w:tcW w:w="1440" w:type="dxa"/>
            <w:tcBorders>
              <w:top w:val="nil"/>
              <w:left w:val="nil"/>
              <w:bottom w:val="nil"/>
              <w:right w:val="nil"/>
            </w:tcBorders>
          </w:tcPr>
          <w:p w14:paraId="051EE77F" w14:textId="694A4568" w:rsidR="008277AA" w:rsidRPr="006435A2" w:rsidRDefault="008277AA" w:rsidP="008277AA">
            <w:pPr>
              <w:jc w:val="center"/>
              <w:rPr>
                <w:rFonts w:ascii="Baskerville" w:hAnsi="Baskerville"/>
              </w:rPr>
            </w:pPr>
            <w:r w:rsidRPr="006435A2">
              <w:rPr>
                <w:rFonts w:ascii="Baskerville" w:hAnsi="Baskerville"/>
              </w:rPr>
              <w:t>16.4%</w:t>
            </w:r>
          </w:p>
        </w:tc>
        <w:tc>
          <w:tcPr>
            <w:tcW w:w="1980" w:type="dxa"/>
            <w:tcBorders>
              <w:top w:val="nil"/>
              <w:left w:val="nil"/>
              <w:bottom w:val="nil"/>
              <w:right w:val="nil"/>
            </w:tcBorders>
          </w:tcPr>
          <w:p w14:paraId="43216BF4" w14:textId="5D6528AC" w:rsidR="008277AA" w:rsidRPr="006435A2" w:rsidRDefault="008277AA" w:rsidP="008277AA">
            <w:pPr>
              <w:jc w:val="center"/>
              <w:rPr>
                <w:rFonts w:ascii="Baskerville" w:hAnsi="Baskerville"/>
              </w:rPr>
            </w:pPr>
            <w:r w:rsidRPr="008277AA">
              <w:rPr>
                <w:rFonts w:ascii="Baskerville" w:hAnsi="Baskerville"/>
              </w:rPr>
              <w:t xml:space="preserve"> 940,693 </w:t>
            </w:r>
          </w:p>
        </w:tc>
      </w:tr>
      <w:tr w:rsidR="008277AA" w:rsidRPr="00192227" w14:paraId="1BFBF549" w14:textId="74373B2A" w:rsidTr="008277AA">
        <w:trPr>
          <w:trHeight w:val="320"/>
        </w:trPr>
        <w:tc>
          <w:tcPr>
            <w:tcW w:w="4770" w:type="dxa"/>
            <w:tcBorders>
              <w:top w:val="nil"/>
              <w:left w:val="nil"/>
              <w:bottom w:val="nil"/>
              <w:right w:val="nil"/>
            </w:tcBorders>
            <w:shd w:val="clear" w:color="auto" w:fill="auto"/>
            <w:noWrap/>
            <w:hideMark/>
          </w:tcPr>
          <w:p w14:paraId="58FF74EF" w14:textId="2DF6C317" w:rsidR="008277AA" w:rsidRPr="006435A2" w:rsidRDefault="008277AA" w:rsidP="008277AA">
            <w:pPr>
              <w:rPr>
                <w:rFonts w:ascii="Baskerville" w:hAnsi="Baskerville"/>
              </w:rPr>
            </w:pPr>
            <w:r w:rsidRPr="006435A2">
              <w:rPr>
                <w:rFonts w:ascii="Baskerville" w:hAnsi="Baskerville"/>
              </w:rPr>
              <w:t xml:space="preserve"> AFNR Aligned Cluster Skills  </w:t>
            </w:r>
          </w:p>
        </w:tc>
        <w:tc>
          <w:tcPr>
            <w:tcW w:w="1800" w:type="dxa"/>
            <w:tcBorders>
              <w:top w:val="nil"/>
              <w:left w:val="nil"/>
              <w:bottom w:val="nil"/>
              <w:right w:val="nil"/>
            </w:tcBorders>
            <w:shd w:val="clear" w:color="auto" w:fill="auto"/>
            <w:noWrap/>
            <w:hideMark/>
          </w:tcPr>
          <w:p w14:paraId="5B35C72B" w14:textId="746FCCB4" w:rsidR="008277AA" w:rsidRPr="006435A2" w:rsidRDefault="008277AA" w:rsidP="008277AA">
            <w:pPr>
              <w:jc w:val="center"/>
              <w:rPr>
                <w:rFonts w:ascii="Baskerville" w:hAnsi="Baskerville"/>
              </w:rPr>
            </w:pPr>
            <w:r w:rsidRPr="006435A2">
              <w:rPr>
                <w:rFonts w:ascii="Baskerville" w:hAnsi="Baskerville"/>
              </w:rPr>
              <w:t>5.28</w:t>
            </w:r>
          </w:p>
        </w:tc>
        <w:tc>
          <w:tcPr>
            <w:tcW w:w="1440" w:type="dxa"/>
            <w:tcBorders>
              <w:top w:val="nil"/>
              <w:left w:val="nil"/>
              <w:bottom w:val="nil"/>
              <w:right w:val="nil"/>
            </w:tcBorders>
          </w:tcPr>
          <w:p w14:paraId="3926AE5D" w14:textId="23F9BF15" w:rsidR="008277AA" w:rsidRPr="006435A2" w:rsidRDefault="008277AA" w:rsidP="008277AA">
            <w:pPr>
              <w:jc w:val="center"/>
              <w:rPr>
                <w:rFonts w:ascii="Baskerville" w:hAnsi="Baskerville"/>
              </w:rPr>
            </w:pPr>
            <w:r w:rsidRPr="006435A2">
              <w:rPr>
                <w:rFonts w:ascii="Baskerville" w:hAnsi="Baskerville"/>
              </w:rPr>
              <w:t>0.8%</w:t>
            </w:r>
          </w:p>
        </w:tc>
        <w:tc>
          <w:tcPr>
            <w:tcW w:w="1980" w:type="dxa"/>
            <w:tcBorders>
              <w:top w:val="nil"/>
              <w:left w:val="nil"/>
              <w:bottom w:val="nil"/>
              <w:right w:val="nil"/>
            </w:tcBorders>
          </w:tcPr>
          <w:p w14:paraId="05E5BE10" w14:textId="0CD64480" w:rsidR="008277AA" w:rsidRPr="006435A2" w:rsidRDefault="008277AA" w:rsidP="008277AA">
            <w:pPr>
              <w:jc w:val="center"/>
              <w:rPr>
                <w:rFonts w:ascii="Baskerville" w:hAnsi="Baskerville"/>
              </w:rPr>
            </w:pPr>
            <w:r w:rsidRPr="008277AA">
              <w:rPr>
                <w:rFonts w:ascii="Baskerville" w:hAnsi="Baskerville"/>
              </w:rPr>
              <w:t xml:space="preserve"> 46,124 </w:t>
            </w:r>
          </w:p>
        </w:tc>
      </w:tr>
      <w:tr w:rsidR="008277AA" w:rsidRPr="00192227" w14:paraId="0E354768" w14:textId="59B90C68" w:rsidTr="008277AA">
        <w:trPr>
          <w:trHeight w:val="320"/>
        </w:trPr>
        <w:tc>
          <w:tcPr>
            <w:tcW w:w="4770" w:type="dxa"/>
            <w:tcBorders>
              <w:top w:val="nil"/>
              <w:left w:val="nil"/>
              <w:bottom w:val="nil"/>
              <w:right w:val="nil"/>
            </w:tcBorders>
            <w:shd w:val="clear" w:color="auto" w:fill="auto"/>
            <w:noWrap/>
            <w:hideMark/>
          </w:tcPr>
          <w:p w14:paraId="2BFDC0A5" w14:textId="6CDAA133" w:rsidR="008277AA" w:rsidRPr="006435A2" w:rsidRDefault="008277AA" w:rsidP="008277AA">
            <w:pPr>
              <w:rPr>
                <w:rFonts w:ascii="Baskerville" w:hAnsi="Baskerville"/>
              </w:rPr>
            </w:pPr>
            <w:r w:rsidRPr="006435A2">
              <w:rPr>
                <w:rFonts w:ascii="Baskerville" w:hAnsi="Baskerville"/>
              </w:rPr>
              <w:t xml:space="preserve"> AFNR Aligned Environmental Service Syst.  </w:t>
            </w:r>
          </w:p>
        </w:tc>
        <w:tc>
          <w:tcPr>
            <w:tcW w:w="1800" w:type="dxa"/>
            <w:tcBorders>
              <w:top w:val="nil"/>
              <w:left w:val="nil"/>
              <w:bottom w:val="nil"/>
              <w:right w:val="nil"/>
            </w:tcBorders>
            <w:shd w:val="clear" w:color="auto" w:fill="auto"/>
            <w:noWrap/>
            <w:hideMark/>
          </w:tcPr>
          <w:p w14:paraId="40D44C96" w14:textId="12442B7C" w:rsidR="008277AA" w:rsidRPr="006435A2" w:rsidRDefault="008277AA" w:rsidP="008277AA">
            <w:pPr>
              <w:jc w:val="center"/>
              <w:rPr>
                <w:rFonts w:ascii="Baskerville" w:hAnsi="Baskerville"/>
              </w:rPr>
            </w:pPr>
            <w:r w:rsidRPr="006435A2">
              <w:rPr>
                <w:rFonts w:ascii="Baskerville" w:hAnsi="Baskerville"/>
              </w:rPr>
              <w:t>9.84</w:t>
            </w:r>
          </w:p>
        </w:tc>
        <w:tc>
          <w:tcPr>
            <w:tcW w:w="1440" w:type="dxa"/>
            <w:tcBorders>
              <w:top w:val="nil"/>
              <w:left w:val="nil"/>
              <w:bottom w:val="nil"/>
              <w:right w:val="nil"/>
            </w:tcBorders>
          </w:tcPr>
          <w:p w14:paraId="2B8AFDBF" w14:textId="2B3C91E8" w:rsidR="008277AA" w:rsidRPr="006435A2" w:rsidRDefault="008277AA" w:rsidP="008277AA">
            <w:pPr>
              <w:jc w:val="center"/>
              <w:rPr>
                <w:rFonts w:ascii="Baskerville" w:hAnsi="Baskerville"/>
              </w:rPr>
            </w:pPr>
            <w:r w:rsidRPr="006435A2">
              <w:rPr>
                <w:rFonts w:ascii="Baskerville" w:hAnsi="Baskerville"/>
              </w:rPr>
              <w:t>1.5%</w:t>
            </w:r>
          </w:p>
        </w:tc>
        <w:tc>
          <w:tcPr>
            <w:tcW w:w="1980" w:type="dxa"/>
            <w:tcBorders>
              <w:top w:val="nil"/>
              <w:left w:val="nil"/>
              <w:bottom w:val="nil"/>
              <w:right w:val="nil"/>
            </w:tcBorders>
          </w:tcPr>
          <w:p w14:paraId="2B1DCC25" w14:textId="130E9933" w:rsidR="008277AA" w:rsidRPr="006435A2" w:rsidRDefault="008277AA" w:rsidP="008277AA">
            <w:pPr>
              <w:jc w:val="center"/>
              <w:rPr>
                <w:rFonts w:ascii="Baskerville" w:hAnsi="Baskerville"/>
              </w:rPr>
            </w:pPr>
            <w:r w:rsidRPr="008277AA">
              <w:rPr>
                <w:rFonts w:ascii="Baskerville" w:hAnsi="Baskerville"/>
              </w:rPr>
              <w:t xml:space="preserve"> 85,949 </w:t>
            </w:r>
          </w:p>
        </w:tc>
      </w:tr>
      <w:tr w:rsidR="008277AA" w:rsidRPr="00192227" w14:paraId="43C1A7F3" w14:textId="312D8388" w:rsidTr="008277AA">
        <w:trPr>
          <w:trHeight w:val="320"/>
        </w:trPr>
        <w:tc>
          <w:tcPr>
            <w:tcW w:w="4770" w:type="dxa"/>
            <w:tcBorders>
              <w:top w:val="nil"/>
              <w:left w:val="nil"/>
              <w:bottom w:val="nil"/>
              <w:right w:val="nil"/>
            </w:tcBorders>
            <w:shd w:val="clear" w:color="auto" w:fill="auto"/>
            <w:noWrap/>
            <w:hideMark/>
          </w:tcPr>
          <w:p w14:paraId="2D010B0B" w14:textId="64F3CD5B" w:rsidR="008277AA" w:rsidRPr="006435A2" w:rsidRDefault="008277AA" w:rsidP="008277AA">
            <w:pPr>
              <w:rPr>
                <w:rFonts w:ascii="Baskerville" w:hAnsi="Baskerville"/>
              </w:rPr>
            </w:pPr>
            <w:r w:rsidRPr="006435A2">
              <w:rPr>
                <w:rFonts w:ascii="Baskerville" w:hAnsi="Baskerville"/>
              </w:rPr>
              <w:t xml:space="preserve"> Council Aligned Foundational Skills </w:t>
            </w:r>
          </w:p>
        </w:tc>
        <w:tc>
          <w:tcPr>
            <w:tcW w:w="1800" w:type="dxa"/>
            <w:tcBorders>
              <w:top w:val="nil"/>
              <w:left w:val="nil"/>
              <w:bottom w:val="nil"/>
              <w:right w:val="nil"/>
            </w:tcBorders>
            <w:shd w:val="clear" w:color="auto" w:fill="auto"/>
            <w:noWrap/>
            <w:hideMark/>
          </w:tcPr>
          <w:p w14:paraId="1C11698F" w14:textId="5B3EF5D3" w:rsidR="008277AA" w:rsidRPr="006435A2" w:rsidRDefault="008277AA" w:rsidP="008277AA">
            <w:pPr>
              <w:jc w:val="center"/>
              <w:rPr>
                <w:rFonts w:ascii="Baskerville" w:hAnsi="Baskerville"/>
              </w:rPr>
            </w:pPr>
            <w:r w:rsidRPr="006435A2">
              <w:rPr>
                <w:rFonts w:ascii="Baskerville" w:hAnsi="Baskerville"/>
              </w:rPr>
              <w:t>33.53</w:t>
            </w:r>
          </w:p>
        </w:tc>
        <w:tc>
          <w:tcPr>
            <w:tcW w:w="1440" w:type="dxa"/>
            <w:tcBorders>
              <w:top w:val="nil"/>
              <w:left w:val="nil"/>
              <w:bottom w:val="nil"/>
              <w:right w:val="nil"/>
            </w:tcBorders>
          </w:tcPr>
          <w:p w14:paraId="630B4E24" w14:textId="55D0BE12" w:rsidR="008277AA" w:rsidRPr="006435A2" w:rsidRDefault="008277AA" w:rsidP="008277AA">
            <w:pPr>
              <w:jc w:val="center"/>
              <w:rPr>
                <w:rFonts w:ascii="Baskerville" w:hAnsi="Baskerville"/>
              </w:rPr>
            </w:pPr>
            <w:r w:rsidRPr="006435A2">
              <w:rPr>
                <w:rFonts w:ascii="Baskerville" w:hAnsi="Baskerville"/>
              </w:rPr>
              <w:t>5.1%</w:t>
            </w:r>
          </w:p>
        </w:tc>
        <w:tc>
          <w:tcPr>
            <w:tcW w:w="1980" w:type="dxa"/>
            <w:tcBorders>
              <w:top w:val="nil"/>
              <w:left w:val="nil"/>
              <w:bottom w:val="nil"/>
              <w:right w:val="nil"/>
            </w:tcBorders>
          </w:tcPr>
          <w:p w14:paraId="3A1BB4F3" w14:textId="321803EF" w:rsidR="008277AA" w:rsidRPr="006435A2" w:rsidRDefault="008277AA" w:rsidP="008277AA">
            <w:pPr>
              <w:jc w:val="center"/>
              <w:rPr>
                <w:rFonts w:ascii="Baskerville" w:hAnsi="Baskerville"/>
              </w:rPr>
            </w:pPr>
            <w:r w:rsidRPr="008277AA">
              <w:rPr>
                <w:rFonts w:ascii="Baskerville" w:hAnsi="Baskerville"/>
              </w:rPr>
              <w:t xml:space="preserve"> 292,995 </w:t>
            </w:r>
          </w:p>
        </w:tc>
      </w:tr>
      <w:tr w:rsidR="008277AA" w:rsidRPr="00192227" w14:paraId="02C1FF27" w14:textId="53F99F20" w:rsidTr="008277AA">
        <w:trPr>
          <w:trHeight w:val="320"/>
        </w:trPr>
        <w:tc>
          <w:tcPr>
            <w:tcW w:w="4770" w:type="dxa"/>
            <w:tcBorders>
              <w:top w:val="nil"/>
              <w:left w:val="nil"/>
              <w:right w:val="nil"/>
            </w:tcBorders>
            <w:shd w:val="clear" w:color="auto" w:fill="auto"/>
            <w:noWrap/>
            <w:hideMark/>
          </w:tcPr>
          <w:p w14:paraId="7754EC31" w14:textId="7D3BAA57" w:rsidR="008277AA" w:rsidRPr="006435A2" w:rsidRDefault="008277AA" w:rsidP="008277AA">
            <w:pPr>
              <w:rPr>
                <w:rFonts w:ascii="Baskerville" w:hAnsi="Baskerville"/>
              </w:rPr>
            </w:pPr>
            <w:r w:rsidRPr="006435A2">
              <w:rPr>
                <w:rFonts w:ascii="Baskerville" w:hAnsi="Baskerville"/>
              </w:rPr>
              <w:t xml:space="preserve"> AFNR Aligned Food Products and Processing  </w:t>
            </w:r>
          </w:p>
        </w:tc>
        <w:tc>
          <w:tcPr>
            <w:tcW w:w="1800" w:type="dxa"/>
            <w:tcBorders>
              <w:top w:val="nil"/>
              <w:left w:val="nil"/>
              <w:right w:val="nil"/>
            </w:tcBorders>
            <w:shd w:val="clear" w:color="auto" w:fill="auto"/>
            <w:noWrap/>
            <w:hideMark/>
          </w:tcPr>
          <w:p w14:paraId="0FF6089E" w14:textId="7FA2DA37" w:rsidR="008277AA" w:rsidRPr="006435A2" w:rsidRDefault="008277AA" w:rsidP="008277AA">
            <w:pPr>
              <w:jc w:val="center"/>
              <w:rPr>
                <w:rFonts w:ascii="Baskerville" w:hAnsi="Baskerville"/>
              </w:rPr>
            </w:pPr>
            <w:r w:rsidRPr="006435A2">
              <w:rPr>
                <w:rFonts w:ascii="Baskerville" w:hAnsi="Baskerville"/>
              </w:rPr>
              <w:t>31.68</w:t>
            </w:r>
          </w:p>
        </w:tc>
        <w:tc>
          <w:tcPr>
            <w:tcW w:w="1440" w:type="dxa"/>
            <w:tcBorders>
              <w:top w:val="nil"/>
              <w:left w:val="nil"/>
              <w:right w:val="nil"/>
            </w:tcBorders>
          </w:tcPr>
          <w:p w14:paraId="6CB54FC4" w14:textId="200B0480" w:rsidR="008277AA" w:rsidRPr="006435A2" w:rsidRDefault="008277AA" w:rsidP="008277AA">
            <w:pPr>
              <w:jc w:val="center"/>
              <w:rPr>
                <w:rFonts w:ascii="Baskerville" w:hAnsi="Baskerville"/>
              </w:rPr>
            </w:pPr>
            <w:r w:rsidRPr="006435A2">
              <w:rPr>
                <w:rFonts w:ascii="Baskerville" w:hAnsi="Baskerville"/>
              </w:rPr>
              <w:t>4.8%</w:t>
            </w:r>
          </w:p>
        </w:tc>
        <w:tc>
          <w:tcPr>
            <w:tcW w:w="1980" w:type="dxa"/>
            <w:tcBorders>
              <w:top w:val="nil"/>
              <w:left w:val="nil"/>
              <w:right w:val="nil"/>
            </w:tcBorders>
          </w:tcPr>
          <w:p w14:paraId="2A5A6817" w14:textId="5E5BA976" w:rsidR="008277AA" w:rsidRPr="006435A2" w:rsidRDefault="008277AA" w:rsidP="008277AA">
            <w:pPr>
              <w:jc w:val="center"/>
              <w:rPr>
                <w:rFonts w:ascii="Baskerville" w:hAnsi="Baskerville"/>
              </w:rPr>
            </w:pPr>
            <w:r w:rsidRPr="008277AA">
              <w:rPr>
                <w:rFonts w:ascii="Baskerville" w:hAnsi="Baskerville"/>
              </w:rPr>
              <w:t xml:space="preserve"> 276,874 </w:t>
            </w:r>
          </w:p>
        </w:tc>
      </w:tr>
      <w:tr w:rsidR="008277AA" w:rsidRPr="00192227" w14:paraId="19C0107A" w14:textId="69580F8C" w:rsidTr="008277AA">
        <w:trPr>
          <w:trHeight w:val="340"/>
        </w:trPr>
        <w:tc>
          <w:tcPr>
            <w:tcW w:w="4770" w:type="dxa"/>
            <w:tcBorders>
              <w:top w:val="nil"/>
              <w:left w:val="nil"/>
              <w:right w:val="nil"/>
            </w:tcBorders>
            <w:shd w:val="clear" w:color="auto" w:fill="auto"/>
            <w:noWrap/>
            <w:hideMark/>
          </w:tcPr>
          <w:p w14:paraId="676632D6" w14:textId="77FAE729" w:rsidR="008277AA" w:rsidRPr="006435A2" w:rsidRDefault="008277AA" w:rsidP="008277AA">
            <w:pPr>
              <w:rPr>
                <w:rFonts w:ascii="Baskerville" w:hAnsi="Baskerville"/>
              </w:rPr>
            </w:pPr>
            <w:r w:rsidRPr="006435A2">
              <w:rPr>
                <w:rFonts w:ascii="Baskerville" w:hAnsi="Baskerville"/>
              </w:rPr>
              <w:t xml:space="preserve"> AFNR Aligned Natural Resources </w:t>
            </w:r>
          </w:p>
        </w:tc>
        <w:tc>
          <w:tcPr>
            <w:tcW w:w="1800" w:type="dxa"/>
            <w:tcBorders>
              <w:top w:val="nil"/>
              <w:left w:val="nil"/>
              <w:right w:val="nil"/>
            </w:tcBorders>
            <w:shd w:val="clear" w:color="auto" w:fill="auto"/>
            <w:noWrap/>
            <w:hideMark/>
          </w:tcPr>
          <w:p w14:paraId="56B93A5F" w14:textId="31CB8171" w:rsidR="008277AA" w:rsidRPr="006435A2" w:rsidRDefault="008277AA" w:rsidP="008277AA">
            <w:pPr>
              <w:jc w:val="center"/>
              <w:rPr>
                <w:rFonts w:ascii="Baskerville" w:hAnsi="Baskerville"/>
              </w:rPr>
            </w:pPr>
            <w:r w:rsidRPr="006435A2">
              <w:rPr>
                <w:rFonts w:ascii="Baskerville" w:hAnsi="Baskerville"/>
              </w:rPr>
              <w:t>9.51</w:t>
            </w:r>
          </w:p>
        </w:tc>
        <w:tc>
          <w:tcPr>
            <w:tcW w:w="1440" w:type="dxa"/>
            <w:tcBorders>
              <w:top w:val="nil"/>
              <w:left w:val="nil"/>
              <w:right w:val="nil"/>
            </w:tcBorders>
          </w:tcPr>
          <w:p w14:paraId="1B013E4F" w14:textId="238D2387" w:rsidR="008277AA" w:rsidRPr="006435A2" w:rsidRDefault="008277AA" w:rsidP="008277AA">
            <w:pPr>
              <w:jc w:val="center"/>
              <w:rPr>
                <w:rFonts w:ascii="Baskerville" w:hAnsi="Baskerville"/>
              </w:rPr>
            </w:pPr>
            <w:r w:rsidRPr="006435A2">
              <w:rPr>
                <w:rFonts w:ascii="Baskerville" w:hAnsi="Baskerville"/>
              </w:rPr>
              <w:t>1.4%</w:t>
            </w:r>
          </w:p>
        </w:tc>
        <w:tc>
          <w:tcPr>
            <w:tcW w:w="1980" w:type="dxa"/>
            <w:tcBorders>
              <w:top w:val="nil"/>
              <w:left w:val="nil"/>
              <w:right w:val="nil"/>
            </w:tcBorders>
          </w:tcPr>
          <w:p w14:paraId="72595BDA" w14:textId="7D80F233" w:rsidR="008277AA" w:rsidRPr="006435A2" w:rsidRDefault="008277AA" w:rsidP="008277AA">
            <w:pPr>
              <w:jc w:val="center"/>
              <w:rPr>
                <w:rFonts w:ascii="Baskerville" w:hAnsi="Baskerville"/>
              </w:rPr>
            </w:pPr>
            <w:r w:rsidRPr="008277AA">
              <w:rPr>
                <w:rFonts w:ascii="Baskerville" w:hAnsi="Baskerville"/>
              </w:rPr>
              <w:t xml:space="preserve"> 83,090 </w:t>
            </w:r>
          </w:p>
        </w:tc>
      </w:tr>
      <w:tr w:rsidR="008277AA" w:rsidRPr="00192227" w14:paraId="33E25021" w14:textId="6925ACE9" w:rsidTr="008277AA">
        <w:trPr>
          <w:trHeight w:val="304"/>
        </w:trPr>
        <w:tc>
          <w:tcPr>
            <w:tcW w:w="4770" w:type="dxa"/>
            <w:tcBorders>
              <w:left w:val="nil"/>
              <w:right w:val="nil"/>
            </w:tcBorders>
            <w:shd w:val="clear" w:color="auto" w:fill="auto"/>
            <w:noWrap/>
          </w:tcPr>
          <w:p w14:paraId="7F3213A5" w14:textId="3C65DFD6" w:rsidR="008277AA" w:rsidRPr="006435A2" w:rsidRDefault="008277AA" w:rsidP="008277AA">
            <w:pPr>
              <w:rPr>
                <w:rFonts w:ascii="Baskerville" w:hAnsi="Baskerville"/>
              </w:rPr>
            </w:pPr>
            <w:r w:rsidRPr="006435A2">
              <w:rPr>
                <w:rFonts w:ascii="Baskerville" w:hAnsi="Baskerville"/>
              </w:rPr>
              <w:t xml:space="preserve"> AFNR Aligned Plant Science </w:t>
            </w:r>
          </w:p>
        </w:tc>
        <w:tc>
          <w:tcPr>
            <w:tcW w:w="1800" w:type="dxa"/>
            <w:tcBorders>
              <w:left w:val="nil"/>
              <w:right w:val="nil"/>
            </w:tcBorders>
            <w:shd w:val="clear" w:color="auto" w:fill="auto"/>
            <w:noWrap/>
          </w:tcPr>
          <w:p w14:paraId="3F28A51E" w14:textId="2B48F660" w:rsidR="008277AA" w:rsidRPr="006435A2" w:rsidRDefault="008277AA" w:rsidP="008277AA">
            <w:pPr>
              <w:jc w:val="center"/>
              <w:rPr>
                <w:rFonts w:ascii="Baskerville" w:hAnsi="Baskerville"/>
              </w:rPr>
            </w:pPr>
            <w:r w:rsidRPr="006435A2">
              <w:rPr>
                <w:rFonts w:ascii="Baskerville" w:hAnsi="Baskerville"/>
              </w:rPr>
              <w:t>74.38</w:t>
            </w:r>
          </w:p>
        </w:tc>
        <w:tc>
          <w:tcPr>
            <w:tcW w:w="1440" w:type="dxa"/>
            <w:tcBorders>
              <w:left w:val="nil"/>
              <w:right w:val="nil"/>
            </w:tcBorders>
          </w:tcPr>
          <w:p w14:paraId="15533343" w14:textId="29208E5A" w:rsidR="008277AA" w:rsidRPr="006435A2" w:rsidRDefault="008277AA" w:rsidP="008277AA">
            <w:pPr>
              <w:jc w:val="center"/>
              <w:rPr>
                <w:rFonts w:ascii="Baskerville" w:hAnsi="Baskerville"/>
              </w:rPr>
            </w:pPr>
            <w:r w:rsidRPr="006435A2">
              <w:rPr>
                <w:rFonts w:ascii="Baskerville" w:hAnsi="Baskerville"/>
              </w:rPr>
              <w:t>11.3%</w:t>
            </w:r>
          </w:p>
        </w:tc>
        <w:tc>
          <w:tcPr>
            <w:tcW w:w="1980" w:type="dxa"/>
            <w:tcBorders>
              <w:left w:val="nil"/>
              <w:right w:val="nil"/>
            </w:tcBorders>
          </w:tcPr>
          <w:p w14:paraId="65674414" w14:textId="56D882AA" w:rsidR="008277AA" w:rsidRPr="006435A2" w:rsidRDefault="008277AA" w:rsidP="008277AA">
            <w:pPr>
              <w:jc w:val="center"/>
              <w:rPr>
                <w:rFonts w:ascii="Baskerville" w:hAnsi="Baskerville"/>
              </w:rPr>
            </w:pPr>
            <w:r w:rsidRPr="008277AA">
              <w:rPr>
                <w:rFonts w:ascii="Baskerville" w:hAnsi="Baskerville"/>
              </w:rPr>
              <w:t xml:space="preserve"> 649,977 </w:t>
            </w:r>
          </w:p>
        </w:tc>
      </w:tr>
      <w:tr w:rsidR="008277AA" w:rsidRPr="00192227" w14:paraId="7570AB73" w14:textId="45ABA083" w:rsidTr="008277AA">
        <w:trPr>
          <w:trHeight w:val="304"/>
        </w:trPr>
        <w:tc>
          <w:tcPr>
            <w:tcW w:w="4770" w:type="dxa"/>
            <w:tcBorders>
              <w:left w:val="nil"/>
              <w:bottom w:val="single" w:sz="4" w:space="0" w:color="auto"/>
              <w:right w:val="nil"/>
            </w:tcBorders>
            <w:shd w:val="clear" w:color="auto" w:fill="auto"/>
            <w:noWrap/>
            <w:vAlign w:val="center"/>
          </w:tcPr>
          <w:p w14:paraId="0CD55CE0" w14:textId="1376D392" w:rsidR="008277AA" w:rsidRPr="006435A2" w:rsidRDefault="008277AA" w:rsidP="008277AA">
            <w:pPr>
              <w:rPr>
                <w:rFonts w:ascii="Baskerville" w:hAnsi="Baskerville"/>
              </w:rPr>
            </w:pPr>
            <w:r>
              <w:rPr>
                <w:rFonts w:ascii="Baskerville" w:hAnsi="Baskerville" w:cs="Calibri"/>
                <w:color w:val="000000"/>
              </w:rPr>
              <w:t xml:space="preserve"> AFNR Aligned Power, Structural, &amp; Tech. </w:t>
            </w:r>
          </w:p>
        </w:tc>
        <w:tc>
          <w:tcPr>
            <w:tcW w:w="1800" w:type="dxa"/>
            <w:tcBorders>
              <w:left w:val="nil"/>
              <w:bottom w:val="single" w:sz="4" w:space="0" w:color="auto"/>
              <w:right w:val="nil"/>
            </w:tcBorders>
            <w:shd w:val="clear" w:color="auto" w:fill="auto"/>
            <w:noWrap/>
            <w:vAlign w:val="center"/>
          </w:tcPr>
          <w:p w14:paraId="7058BD96" w14:textId="58B20DB4" w:rsidR="008277AA" w:rsidRPr="006435A2" w:rsidRDefault="008277AA" w:rsidP="008277AA">
            <w:pPr>
              <w:jc w:val="center"/>
              <w:rPr>
                <w:rFonts w:ascii="Baskerville" w:hAnsi="Baskerville"/>
              </w:rPr>
            </w:pPr>
            <w:r w:rsidRPr="006435A2">
              <w:rPr>
                <w:rFonts w:ascii="Baskerville" w:hAnsi="Baskerville"/>
              </w:rPr>
              <w:t>34.03</w:t>
            </w:r>
          </w:p>
        </w:tc>
        <w:tc>
          <w:tcPr>
            <w:tcW w:w="1440" w:type="dxa"/>
            <w:tcBorders>
              <w:left w:val="nil"/>
              <w:bottom w:val="single" w:sz="4" w:space="0" w:color="auto"/>
              <w:right w:val="nil"/>
            </w:tcBorders>
            <w:vAlign w:val="center"/>
          </w:tcPr>
          <w:p w14:paraId="176E16E2" w14:textId="0B755DB1" w:rsidR="008277AA" w:rsidRPr="006435A2" w:rsidRDefault="008277AA" w:rsidP="008277AA">
            <w:pPr>
              <w:jc w:val="center"/>
              <w:rPr>
                <w:rFonts w:ascii="Baskerville" w:hAnsi="Baskerville"/>
              </w:rPr>
            </w:pPr>
            <w:r w:rsidRPr="006435A2">
              <w:rPr>
                <w:rFonts w:ascii="Baskerville" w:hAnsi="Baskerville"/>
              </w:rPr>
              <w:t>5.2%</w:t>
            </w:r>
          </w:p>
        </w:tc>
        <w:tc>
          <w:tcPr>
            <w:tcW w:w="1980" w:type="dxa"/>
            <w:tcBorders>
              <w:left w:val="nil"/>
              <w:bottom w:val="single" w:sz="4" w:space="0" w:color="auto"/>
              <w:right w:val="nil"/>
            </w:tcBorders>
          </w:tcPr>
          <w:p w14:paraId="643994FC" w14:textId="4B19A294" w:rsidR="008277AA" w:rsidRPr="006435A2" w:rsidRDefault="008277AA" w:rsidP="008277AA">
            <w:pPr>
              <w:jc w:val="center"/>
              <w:rPr>
                <w:rFonts w:ascii="Baskerville" w:hAnsi="Baskerville"/>
              </w:rPr>
            </w:pPr>
            <w:r w:rsidRPr="008277AA">
              <w:rPr>
                <w:rFonts w:ascii="Baskerville" w:hAnsi="Baskerville"/>
              </w:rPr>
              <w:t xml:space="preserve"> 297,424 </w:t>
            </w:r>
          </w:p>
        </w:tc>
      </w:tr>
      <w:tr w:rsidR="008277AA" w:rsidRPr="00192227" w14:paraId="5B49DBC8" w14:textId="101567C2" w:rsidTr="008277AA">
        <w:trPr>
          <w:trHeight w:val="304"/>
        </w:trPr>
        <w:tc>
          <w:tcPr>
            <w:tcW w:w="4770" w:type="dxa"/>
            <w:tcBorders>
              <w:top w:val="single" w:sz="8" w:space="0" w:color="auto"/>
              <w:left w:val="nil"/>
              <w:bottom w:val="single" w:sz="4" w:space="0" w:color="auto"/>
              <w:right w:val="nil"/>
            </w:tcBorders>
            <w:shd w:val="clear" w:color="auto" w:fill="auto"/>
            <w:noWrap/>
          </w:tcPr>
          <w:p w14:paraId="7844DF80" w14:textId="63EA7D5C" w:rsidR="008277AA" w:rsidRPr="006435A2" w:rsidRDefault="008277AA" w:rsidP="008277AA">
            <w:pPr>
              <w:jc w:val="right"/>
              <w:rPr>
                <w:rFonts w:ascii="Baskerville" w:hAnsi="Baskerville"/>
              </w:rPr>
            </w:pPr>
            <w:r>
              <w:rPr>
                <w:rFonts w:ascii="Baskerville" w:hAnsi="Baskerville"/>
              </w:rPr>
              <w:t>Total Academic Skills Recorded</w:t>
            </w:r>
          </w:p>
        </w:tc>
        <w:tc>
          <w:tcPr>
            <w:tcW w:w="1800" w:type="dxa"/>
            <w:tcBorders>
              <w:top w:val="single" w:sz="8" w:space="0" w:color="auto"/>
              <w:left w:val="nil"/>
              <w:bottom w:val="single" w:sz="4" w:space="0" w:color="auto"/>
              <w:right w:val="nil"/>
            </w:tcBorders>
            <w:shd w:val="clear" w:color="auto" w:fill="auto"/>
            <w:noWrap/>
          </w:tcPr>
          <w:p w14:paraId="053F20C6" w14:textId="7055CB4B" w:rsidR="008277AA" w:rsidRPr="006435A2" w:rsidRDefault="008277AA" w:rsidP="008277AA">
            <w:pPr>
              <w:jc w:val="center"/>
              <w:rPr>
                <w:rFonts w:ascii="Baskerville" w:hAnsi="Baskerville"/>
              </w:rPr>
            </w:pPr>
            <w:r>
              <w:rPr>
                <w:rFonts w:ascii="Baskerville" w:hAnsi="Baskerville"/>
              </w:rPr>
              <w:t>658.21</w:t>
            </w:r>
          </w:p>
        </w:tc>
        <w:tc>
          <w:tcPr>
            <w:tcW w:w="1440" w:type="dxa"/>
            <w:tcBorders>
              <w:top w:val="single" w:sz="8" w:space="0" w:color="auto"/>
              <w:left w:val="nil"/>
              <w:bottom w:val="single" w:sz="4" w:space="0" w:color="auto"/>
              <w:right w:val="nil"/>
            </w:tcBorders>
          </w:tcPr>
          <w:p w14:paraId="61D8F55D" w14:textId="46FEEA24" w:rsidR="008277AA" w:rsidRPr="006435A2" w:rsidRDefault="008277AA" w:rsidP="008277AA">
            <w:pPr>
              <w:jc w:val="center"/>
              <w:rPr>
                <w:rFonts w:ascii="Baskerville" w:hAnsi="Baskerville"/>
              </w:rPr>
            </w:pPr>
          </w:p>
        </w:tc>
        <w:tc>
          <w:tcPr>
            <w:tcW w:w="1980" w:type="dxa"/>
            <w:tcBorders>
              <w:top w:val="single" w:sz="8" w:space="0" w:color="auto"/>
              <w:left w:val="nil"/>
              <w:bottom w:val="single" w:sz="4" w:space="0" w:color="auto"/>
              <w:right w:val="nil"/>
            </w:tcBorders>
          </w:tcPr>
          <w:p w14:paraId="203A39A5" w14:textId="7C769F7B" w:rsidR="008277AA" w:rsidRPr="006435A2" w:rsidRDefault="008277AA" w:rsidP="008277AA">
            <w:pPr>
              <w:jc w:val="center"/>
              <w:rPr>
                <w:rFonts w:ascii="Baskerville" w:hAnsi="Baskerville"/>
              </w:rPr>
            </w:pPr>
            <w:r w:rsidRPr="008277AA">
              <w:rPr>
                <w:rFonts w:ascii="Baskerville" w:hAnsi="Baskerville"/>
              </w:rPr>
              <w:t xml:space="preserve"> 5,752,0</w:t>
            </w:r>
            <w:r>
              <w:rPr>
                <w:rFonts w:ascii="Baskerville" w:hAnsi="Baskerville"/>
              </w:rPr>
              <w:t>90</w:t>
            </w:r>
          </w:p>
        </w:tc>
      </w:tr>
    </w:tbl>
    <w:p w14:paraId="72C2743C" w14:textId="77777777" w:rsidR="006435A2" w:rsidRDefault="006435A2" w:rsidP="00192227">
      <w:pPr>
        <w:pStyle w:val="BodyText"/>
        <w:spacing w:after="0"/>
        <w:rPr>
          <w:rFonts w:ascii="Baskerville Old Face" w:hAnsi="Baskerville Old Face"/>
          <w:color w:val="000000" w:themeColor="text1"/>
          <w:sz w:val="24"/>
          <w:szCs w:val="24"/>
        </w:rPr>
      </w:pPr>
    </w:p>
    <w:p w14:paraId="7BDB3AAC" w14:textId="1AF95339" w:rsidR="006435A2" w:rsidRDefault="008277AA" w:rsidP="00192227">
      <w:pPr>
        <w:pStyle w:val="BodyText"/>
        <w:spacing w:after="0"/>
        <w:rPr>
          <w:rFonts w:ascii="Baskerville Old Face" w:hAnsi="Baskerville Old Face"/>
          <w:color w:val="000000" w:themeColor="text1"/>
          <w:sz w:val="24"/>
          <w:szCs w:val="24"/>
        </w:rPr>
      </w:pPr>
      <w:r>
        <w:rPr>
          <w:rFonts w:ascii="Baskerville Old Face" w:hAnsi="Baskerville Old Face"/>
          <w:color w:val="000000" w:themeColor="text1"/>
          <w:sz w:val="24"/>
          <w:szCs w:val="24"/>
        </w:rPr>
        <w:t>As illustrated in Table 4, since the highest project area is Animal systems, nearly 50% of all SAE related academic skills as related to the same area.  A very common academic skill area that reaches into soft</w:t>
      </w:r>
      <w:r w:rsidR="00BE7AEF">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skill </w:t>
      </w:r>
      <w:r w:rsidR="00BE7AEF">
        <w:rPr>
          <w:rFonts w:ascii="Baskerville Old Face" w:hAnsi="Baskerville Old Face"/>
          <w:color w:val="000000" w:themeColor="text1"/>
          <w:sz w:val="24"/>
          <w:szCs w:val="24"/>
        </w:rPr>
        <w:t xml:space="preserve">development </w:t>
      </w:r>
      <w:r>
        <w:rPr>
          <w:rFonts w:ascii="Baskerville Old Face" w:hAnsi="Baskerville Old Face"/>
          <w:color w:val="000000" w:themeColor="text1"/>
          <w:sz w:val="24"/>
          <w:szCs w:val="24"/>
        </w:rPr>
        <w:t>is Career Ready Practices (CRP)</w:t>
      </w:r>
      <w:r w:rsidR="00BE7AEF">
        <w:rPr>
          <w:rFonts w:ascii="Baskerville Old Face" w:hAnsi="Baskerville Old Face"/>
          <w:color w:val="000000" w:themeColor="text1"/>
          <w:sz w:val="24"/>
          <w:szCs w:val="24"/>
        </w:rPr>
        <w:t>, which is the second most reported area (16.4%).  Nationally students are estimated to be recording over 5.7 million academic skills that directly connect to SAE engagement and offer a positive connection to building experiences as they plan, record and reflect on SAE projects.</w:t>
      </w:r>
    </w:p>
    <w:p w14:paraId="72B8549E" w14:textId="77777777" w:rsidR="006435A2" w:rsidRDefault="006435A2" w:rsidP="00192227">
      <w:pPr>
        <w:pStyle w:val="BodyText"/>
        <w:spacing w:after="0"/>
        <w:rPr>
          <w:rFonts w:ascii="Baskerville Old Face" w:hAnsi="Baskerville Old Face"/>
          <w:color w:val="000000" w:themeColor="text1"/>
          <w:sz w:val="24"/>
          <w:szCs w:val="24"/>
        </w:rPr>
      </w:pPr>
    </w:p>
    <w:p w14:paraId="12AC258B" w14:textId="0711BE04" w:rsidR="00744C68" w:rsidRPr="00192227" w:rsidRDefault="00BE7AEF" w:rsidP="00192227">
      <w:pPr>
        <w:pStyle w:val="BodyText"/>
        <w:spacing w:after="0"/>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Another way to summarize </w:t>
      </w:r>
      <w:r w:rsidR="00BA5915" w:rsidRPr="00192227">
        <w:rPr>
          <w:rFonts w:ascii="Baskerville Old Face" w:hAnsi="Baskerville Old Face"/>
          <w:color w:val="000000" w:themeColor="text1"/>
          <w:sz w:val="24"/>
          <w:szCs w:val="24"/>
        </w:rPr>
        <w:t xml:space="preserve">experiential learning </w:t>
      </w:r>
      <w:r>
        <w:rPr>
          <w:rFonts w:ascii="Baskerville Old Face" w:hAnsi="Baskerville Old Face"/>
          <w:color w:val="000000" w:themeColor="text1"/>
          <w:sz w:val="24"/>
          <w:szCs w:val="24"/>
        </w:rPr>
        <w:t xml:space="preserve">is to view the record hours </w:t>
      </w:r>
      <w:r w:rsidR="006575B2" w:rsidRPr="00192227">
        <w:rPr>
          <w:rFonts w:ascii="Baskerville Old Face" w:hAnsi="Baskerville Old Face"/>
          <w:color w:val="000000" w:themeColor="text1"/>
          <w:sz w:val="24"/>
          <w:szCs w:val="24"/>
        </w:rPr>
        <w:t>SAE, FFA</w:t>
      </w:r>
      <w:r w:rsidR="00EF4598" w:rsidRPr="00192227">
        <w:rPr>
          <w:rFonts w:ascii="Baskerville Old Face" w:hAnsi="Baskerville Old Face"/>
          <w:color w:val="000000" w:themeColor="text1"/>
          <w:sz w:val="24"/>
          <w:szCs w:val="24"/>
        </w:rPr>
        <w:t>,</w:t>
      </w:r>
      <w:r w:rsidR="006575B2" w:rsidRPr="00192227">
        <w:rPr>
          <w:rFonts w:ascii="Baskerville Old Face" w:hAnsi="Baskerville Old Face"/>
          <w:color w:val="000000" w:themeColor="text1"/>
          <w:sz w:val="24"/>
          <w:szCs w:val="24"/>
        </w:rPr>
        <w:t xml:space="preserve"> and community</w:t>
      </w:r>
      <w:r w:rsidR="00E83718" w:rsidRPr="00192227">
        <w:rPr>
          <w:rFonts w:ascii="Baskerville Old Face" w:hAnsi="Baskerville Old Face"/>
          <w:color w:val="000000" w:themeColor="text1"/>
          <w:sz w:val="24"/>
          <w:szCs w:val="24"/>
        </w:rPr>
        <w:t xml:space="preserve"> service</w:t>
      </w:r>
      <w:r w:rsidR="006575B2" w:rsidRPr="00192227">
        <w:rPr>
          <w:rFonts w:ascii="Baskerville Old Face" w:hAnsi="Baskerville Old Face"/>
          <w:color w:val="000000" w:themeColor="text1"/>
          <w:sz w:val="24"/>
          <w:szCs w:val="24"/>
        </w:rPr>
        <w:t xml:space="preserve"> </w:t>
      </w:r>
      <w:r>
        <w:rPr>
          <w:rFonts w:ascii="Baskerville Old Face" w:hAnsi="Baskerville Old Face"/>
          <w:color w:val="000000" w:themeColor="text1"/>
          <w:sz w:val="24"/>
          <w:szCs w:val="24"/>
        </w:rPr>
        <w:t xml:space="preserve">engagement, which is illustrated in </w:t>
      </w:r>
      <w:r w:rsidR="00BA5915" w:rsidRPr="00192227">
        <w:rPr>
          <w:rFonts w:ascii="Baskerville Old Face" w:hAnsi="Baskerville Old Face"/>
          <w:color w:val="000000" w:themeColor="text1"/>
          <w:sz w:val="24"/>
          <w:szCs w:val="24"/>
        </w:rPr>
        <w:t xml:space="preserve">Table 5. </w:t>
      </w:r>
    </w:p>
    <w:p w14:paraId="5C014C8E" w14:textId="77777777" w:rsidR="00C33C19" w:rsidRPr="00192227" w:rsidRDefault="00C33C19" w:rsidP="00192227">
      <w:pPr>
        <w:pStyle w:val="BodyText"/>
        <w:spacing w:after="0"/>
        <w:rPr>
          <w:rFonts w:ascii="Baskerville Old Face" w:hAnsi="Baskerville Old Face"/>
          <w:color w:val="000000" w:themeColor="text1"/>
          <w:sz w:val="24"/>
          <w:szCs w:val="24"/>
        </w:rPr>
      </w:pPr>
    </w:p>
    <w:p w14:paraId="2C4A0908" w14:textId="2802BC85" w:rsidR="00904090" w:rsidRPr="00192227" w:rsidRDefault="004A4F58" w:rsidP="00192227">
      <w:pPr>
        <w:pStyle w:val="BodyText"/>
        <w:spacing w:after="0"/>
        <w:rPr>
          <w:rFonts w:ascii="Baskerville Old Face" w:hAnsi="Baskerville Old Face"/>
          <w:color w:val="000000" w:themeColor="text1"/>
          <w:sz w:val="24"/>
          <w:szCs w:val="24"/>
        </w:rPr>
      </w:pPr>
      <w:r w:rsidRPr="00192227">
        <w:rPr>
          <w:rFonts w:ascii="Baskerville Old Face" w:hAnsi="Baskerville Old Face"/>
          <w:color w:val="000000" w:themeColor="text1"/>
          <w:sz w:val="24"/>
          <w:szCs w:val="24"/>
        </w:rPr>
        <w:t>Table 5</w:t>
      </w:r>
      <w:r w:rsidR="004E0E6F" w:rsidRPr="00192227">
        <w:rPr>
          <w:rFonts w:ascii="Baskerville Old Face" w:hAnsi="Baskerville Old Face"/>
          <w:color w:val="000000" w:themeColor="text1"/>
          <w:sz w:val="24"/>
          <w:szCs w:val="24"/>
        </w:rPr>
        <w:t xml:space="preserve"> Student</w:t>
      </w:r>
      <w:r w:rsidR="00097FF7" w:rsidRPr="00192227">
        <w:rPr>
          <w:rFonts w:ascii="Baskerville Old Face" w:hAnsi="Baskerville Old Face"/>
          <w:color w:val="000000" w:themeColor="text1"/>
          <w:sz w:val="24"/>
          <w:szCs w:val="24"/>
        </w:rPr>
        <w:t xml:space="preserve">s </w:t>
      </w:r>
      <w:r w:rsidR="00D5145E" w:rsidRPr="00192227">
        <w:rPr>
          <w:rFonts w:ascii="Baskerville Old Face" w:hAnsi="Baskerville Old Face"/>
          <w:color w:val="000000" w:themeColor="text1"/>
          <w:sz w:val="24"/>
          <w:szCs w:val="24"/>
        </w:rPr>
        <w:t>Time</w:t>
      </w:r>
      <w:r w:rsidR="00097FF7" w:rsidRPr="00192227">
        <w:rPr>
          <w:rFonts w:ascii="Baskerville Old Face" w:hAnsi="Baskerville Old Face"/>
          <w:color w:val="000000" w:themeColor="text1"/>
          <w:sz w:val="24"/>
          <w:szCs w:val="24"/>
        </w:rPr>
        <w:t xml:space="preserve"> </w:t>
      </w:r>
      <w:r w:rsidR="00D5145E" w:rsidRPr="00192227">
        <w:rPr>
          <w:rFonts w:ascii="Baskerville Old Face" w:hAnsi="Baskerville Old Face"/>
          <w:color w:val="000000" w:themeColor="text1"/>
          <w:sz w:val="24"/>
          <w:szCs w:val="24"/>
        </w:rPr>
        <w:t>Invested</w:t>
      </w:r>
      <w:r w:rsidR="00097FF7" w:rsidRPr="00192227">
        <w:rPr>
          <w:rFonts w:ascii="Baskerville Old Face" w:hAnsi="Baskerville Old Face"/>
          <w:color w:val="000000" w:themeColor="text1"/>
          <w:sz w:val="24"/>
          <w:szCs w:val="24"/>
        </w:rPr>
        <w:t xml:space="preserve"> </w:t>
      </w:r>
      <w:r w:rsidR="00436960" w:rsidRPr="00192227">
        <w:rPr>
          <w:rFonts w:ascii="Baskerville Old Face" w:hAnsi="Baskerville Old Face"/>
          <w:color w:val="000000" w:themeColor="text1"/>
          <w:sz w:val="24"/>
          <w:szCs w:val="24"/>
        </w:rPr>
        <w:t xml:space="preserve">(Journal Hours) </w:t>
      </w:r>
      <w:r w:rsidR="004E0E6F" w:rsidRPr="00192227">
        <w:rPr>
          <w:rFonts w:ascii="Baskerville Old Face" w:hAnsi="Baskerville Old Face"/>
          <w:color w:val="000000" w:themeColor="text1"/>
          <w:sz w:val="24"/>
          <w:szCs w:val="24"/>
        </w:rPr>
        <w:t>in Experiential Learning</w:t>
      </w:r>
      <w:r w:rsidR="00BA5915" w:rsidRPr="00192227">
        <w:rPr>
          <w:rFonts w:ascii="Baskerville Old Face" w:hAnsi="Baskerville Old Face"/>
          <w:color w:val="000000" w:themeColor="text1"/>
          <w:sz w:val="24"/>
          <w:szCs w:val="24"/>
        </w:rPr>
        <w:t xml:space="preserve"> (n=</w:t>
      </w:r>
      <w:r w:rsidR="00AC7272" w:rsidRPr="00192227">
        <w:rPr>
          <w:rFonts w:ascii="Baskerville Old Face" w:hAnsi="Baskerville Old Face"/>
          <w:color w:val="000000" w:themeColor="text1"/>
          <w:sz w:val="24"/>
          <w:szCs w:val="24"/>
        </w:rPr>
        <w:t>4,</w:t>
      </w:r>
      <w:r w:rsidR="00BE7AEF">
        <w:rPr>
          <w:rFonts w:ascii="Baskerville Old Face" w:hAnsi="Baskerville Old Face"/>
          <w:color w:val="000000" w:themeColor="text1"/>
          <w:sz w:val="24"/>
          <w:szCs w:val="24"/>
        </w:rPr>
        <w:t>423</w:t>
      </w:r>
      <w:r w:rsidR="00904090" w:rsidRPr="00192227">
        <w:rPr>
          <w:rFonts w:ascii="Baskerville Old Face" w:hAnsi="Baskerville Old Face"/>
          <w:color w:val="000000" w:themeColor="text1"/>
          <w:sz w:val="24"/>
          <w:szCs w:val="24"/>
        </w:rPr>
        <w:t>)</w:t>
      </w:r>
    </w:p>
    <w:tbl>
      <w:tblPr>
        <w:tblW w:w="9972" w:type="dxa"/>
        <w:tblInd w:w="108" w:type="dxa"/>
        <w:tblLayout w:type="fixed"/>
        <w:tblLook w:val="04A0" w:firstRow="1" w:lastRow="0" w:firstColumn="1" w:lastColumn="0" w:noHBand="0" w:noVBand="1"/>
      </w:tblPr>
      <w:tblGrid>
        <w:gridCol w:w="5574"/>
        <w:gridCol w:w="1350"/>
        <w:gridCol w:w="900"/>
        <w:gridCol w:w="2148"/>
      </w:tblGrid>
      <w:tr w:rsidR="00827AFE" w:rsidRPr="00192227" w14:paraId="6CF3E355" w14:textId="77777777" w:rsidTr="00BE7AEF">
        <w:trPr>
          <w:trHeight w:val="601"/>
        </w:trPr>
        <w:tc>
          <w:tcPr>
            <w:tcW w:w="5574" w:type="dxa"/>
            <w:tcBorders>
              <w:top w:val="single" w:sz="8" w:space="0" w:color="auto"/>
              <w:left w:val="nil"/>
              <w:bottom w:val="single" w:sz="8" w:space="0" w:color="auto"/>
              <w:right w:val="nil"/>
            </w:tcBorders>
            <w:shd w:val="clear" w:color="auto" w:fill="auto"/>
            <w:vAlign w:val="center"/>
            <w:hideMark/>
          </w:tcPr>
          <w:p w14:paraId="0FC18E04" w14:textId="77777777" w:rsidR="00C33C19" w:rsidRPr="00192227" w:rsidRDefault="00C33C19" w:rsidP="00192227">
            <w:pPr>
              <w:rPr>
                <w:rFonts w:asciiTheme="minorHAnsi" w:eastAsia="Times New Roman" w:hAnsiTheme="minorHAnsi"/>
                <w:color w:val="000000" w:themeColor="text1"/>
              </w:rPr>
            </w:pPr>
            <w:r w:rsidRPr="00192227">
              <w:rPr>
                <w:rFonts w:asciiTheme="minorHAnsi" w:eastAsia="Times New Roman" w:hAnsiTheme="minorHAnsi"/>
                <w:color w:val="000000" w:themeColor="text1"/>
              </w:rPr>
              <w:t>Descriptive Area</w:t>
            </w:r>
          </w:p>
        </w:tc>
        <w:tc>
          <w:tcPr>
            <w:tcW w:w="1350" w:type="dxa"/>
            <w:tcBorders>
              <w:top w:val="single" w:sz="8" w:space="0" w:color="auto"/>
              <w:left w:val="nil"/>
              <w:bottom w:val="single" w:sz="8" w:space="0" w:color="auto"/>
              <w:right w:val="nil"/>
            </w:tcBorders>
            <w:shd w:val="clear" w:color="auto" w:fill="auto"/>
            <w:vAlign w:val="center"/>
            <w:hideMark/>
          </w:tcPr>
          <w:p w14:paraId="7BDEEC35" w14:textId="7CD6730A" w:rsidR="00C33C19" w:rsidRPr="00192227" w:rsidRDefault="00C33C19" w:rsidP="00192227">
            <w:pPr>
              <w:jc w:val="right"/>
              <w:rPr>
                <w:rFonts w:asciiTheme="minorHAnsi" w:eastAsia="Times New Roman" w:hAnsiTheme="minorHAnsi"/>
                <w:color w:val="000000" w:themeColor="text1"/>
              </w:rPr>
            </w:pPr>
            <w:r w:rsidRPr="00192227">
              <w:rPr>
                <w:rFonts w:asciiTheme="minorHAnsi" w:eastAsia="Times New Roman" w:hAnsiTheme="minorHAnsi"/>
                <w:color w:val="000000" w:themeColor="text1"/>
              </w:rPr>
              <w:t>Average</w:t>
            </w:r>
          </w:p>
          <w:p w14:paraId="0F71E508" w14:textId="3218AD62" w:rsidR="00960B71" w:rsidRPr="00192227" w:rsidRDefault="00960B71" w:rsidP="00192227">
            <w:pPr>
              <w:jc w:val="right"/>
              <w:rPr>
                <w:rFonts w:asciiTheme="minorHAnsi" w:eastAsia="Times New Roman" w:hAnsiTheme="minorHAnsi"/>
                <w:color w:val="000000" w:themeColor="text1"/>
              </w:rPr>
            </w:pPr>
            <w:r w:rsidRPr="00192227">
              <w:rPr>
                <w:rFonts w:asciiTheme="minorHAnsi" w:eastAsia="Times New Roman" w:hAnsiTheme="minorHAnsi"/>
                <w:color w:val="000000" w:themeColor="text1"/>
                <w:sz w:val="20"/>
                <w:szCs w:val="20"/>
              </w:rPr>
              <w:t>(Per Program)</w:t>
            </w:r>
          </w:p>
        </w:tc>
        <w:tc>
          <w:tcPr>
            <w:tcW w:w="900" w:type="dxa"/>
            <w:tcBorders>
              <w:top w:val="single" w:sz="8" w:space="0" w:color="auto"/>
              <w:left w:val="nil"/>
              <w:bottom w:val="single" w:sz="8" w:space="0" w:color="auto"/>
              <w:right w:val="nil"/>
            </w:tcBorders>
            <w:vAlign w:val="center"/>
          </w:tcPr>
          <w:p w14:paraId="03388130" w14:textId="5F904020" w:rsidR="00C33C19" w:rsidRPr="00192227" w:rsidRDefault="00C33C19" w:rsidP="00192227">
            <w:pPr>
              <w:jc w:val="center"/>
              <w:rPr>
                <w:rFonts w:asciiTheme="minorHAnsi" w:eastAsia="Times New Roman" w:hAnsiTheme="minorHAnsi"/>
                <w:color w:val="000000" w:themeColor="text1"/>
              </w:rPr>
            </w:pPr>
            <w:r w:rsidRPr="00192227">
              <w:rPr>
                <w:rFonts w:asciiTheme="minorHAnsi" w:eastAsia="Times New Roman" w:hAnsiTheme="minorHAnsi"/>
                <w:color w:val="000000" w:themeColor="text1"/>
              </w:rPr>
              <w:t>%</w:t>
            </w:r>
          </w:p>
        </w:tc>
        <w:tc>
          <w:tcPr>
            <w:tcW w:w="2148" w:type="dxa"/>
            <w:tcBorders>
              <w:top w:val="single" w:sz="8" w:space="0" w:color="auto"/>
              <w:left w:val="nil"/>
              <w:bottom w:val="single" w:sz="8" w:space="0" w:color="auto"/>
              <w:right w:val="nil"/>
            </w:tcBorders>
            <w:shd w:val="clear" w:color="auto" w:fill="auto"/>
            <w:vAlign w:val="center"/>
            <w:hideMark/>
          </w:tcPr>
          <w:p w14:paraId="1F6C1284" w14:textId="31DBBA53" w:rsidR="00C33C19" w:rsidRPr="00192227" w:rsidRDefault="003452DC" w:rsidP="00192227">
            <w:pPr>
              <w:jc w:val="right"/>
              <w:rPr>
                <w:rFonts w:asciiTheme="minorHAnsi" w:eastAsia="Times New Roman" w:hAnsiTheme="minorHAnsi"/>
                <w:color w:val="000000" w:themeColor="text1"/>
              </w:rPr>
            </w:pPr>
            <w:r w:rsidRPr="00192227">
              <w:rPr>
                <w:rFonts w:asciiTheme="minorHAnsi" w:eastAsia="Times New Roman" w:hAnsiTheme="minorHAnsi"/>
                <w:color w:val="000000" w:themeColor="text1"/>
              </w:rPr>
              <w:t xml:space="preserve">National Estimate </w:t>
            </w:r>
            <w:r w:rsidR="00BA5915" w:rsidRPr="00192227">
              <w:rPr>
                <w:rFonts w:asciiTheme="minorHAnsi" w:eastAsia="Times New Roman" w:hAnsiTheme="minorHAnsi"/>
                <w:color w:val="000000" w:themeColor="text1"/>
                <w:sz w:val="20"/>
                <w:szCs w:val="20"/>
              </w:rPr>
              <w:t>(</w:t>
            </w:r>
            <w:r w:rsidR="00761D62" w:rsidRPr="00192227">
              <w:rPr>
                <w:rFonts w:asciiTheme="minorHAnsi" w:eastAsia="Times New Roman" w:hAnsiTheme="minorHAnsi"/>
                <w:color w:val="000000" w:themeColor="text1"/>
                <w:sz w:val="20"/>
                <w:szCs w:val="20"/>
              </w:rPr>
              <w:t>N=</w:t>
            </w:r>
            <w:r w:rsidR="00AC06E2" w:rsidRPr="00192227">
              <w:rPr>
                <w:rFonts w:asciiTheme="minorHAnsi" w:eastAsia="Times New Roman" w:hAnsiTheme="minorHAnsi"/>
                <w:color w:val="000000" w:themeColor="text1"/>
                <w:sz w:val="20"/>
                <w:szCs w:val="20"/>
              </w:rPr>
              <w:t>8,</w:t>
            </w:r>
            <w:r w:rsidR="00BE7AEF">
              <w:rPr>
                <w:rFonts w:asciiTheme="minorHAnsi" w:eastAsia="Times New Roman" w:hAnsiTheme="minorHAnsi"/>
                <w:color w:val="000000" w:themeColor="text1"/>
                <w:sz w:val="20"/>
                <w:szCs w:val="20"/>
              </w:rPr>
              <w:t>739</w:t>
            </w:r>
            <w:r w:rsidR="00BA5915" w:rsidRPr="00192227">
              <w:rPr>
                <w:rFonts w:asciiTheme="minorHAnsi" w:eastAsia="Times New Roman" w:hAnsiTheme="minorHAnsi"/>
                <w:color w:val="000000" w:themeColor="text1"/>
                <w:sz w:val="20"/>
                <w:szCs w:val="20"/>
              </w:rPr>
              <w:t xml:space="preserve"> </w:t>
            </w:r>
            <w:r w:rsidRPr="00192227">
              <w:rPr>
                <w:rFonts w:asciiTheme="minorHAnsi" w:eastAsia="Times New Roman" w:hAnsiTheme="minorHAnsi"/>
                <w:color w:val="000000" w:themeColor="text1"/>
                <w:sz w:val="20"/>
                <w:szCs w:val="20"/>
              </w:rPr>
              <w:t>Programs)</w:t>
            </w:r>
          </w:p>
        </w:tc>
      </w:tr>
      <w:tr w:rsidR="00BE7AEF" w:rsidRPr="00192227" w14:paraId="02F0B35E" w14:textId="77777777" w:rsidTr="00685D8F">
        <w:trPr>
          <w:trHeight w:val="320"/>
        </w:trPr>
        <w:tc>
          <w:tcPr>
            <w:tcW w:w="5574" w:type="dxa"/>
            <w:tcBorders>
              <w:top w:val="nil"/>
              <w:left w:val="nil"/>
              <w:bottom w:val="nil"/>
              <w:right w:val="nil"/>
            </w:tcBorders>
            <w:shd w:val="clear" w:color="auto" w:fill="auto"/>
            <w:noWrap/>
            <w:vAlign w:val="center"/>
            <w:hideMark/>
          </w:tcPr>
          <w:p w14:paraId="636524B8" w14:textId="087F85FA" w:rsidR="00BE7AEF" w:rsidRPr="00192227" w:rsidRDefault="00BE7AEF" w:rsidP="00BE7AEF">
            <w:pPr>
              <w:rPr>
                <w:rFonts w:asciiTheme="minorHAnsi" w:eastAsia="Times New Roman" w:hAnsiTheme="minorHAnsi"/>
                <w:color w:val="000000" w:themeColor="text1"/>
              </w:rPr>
            </w:pPr>
            <w:r w:rsidRPr="00192227">
              <w:rPr>
                <w:rFonts w:asciiTheme="minorHAnsi" w:eastAsia="Times New Roman" w:hAnsiTheme="minorHAnsi"/>
                <w:color w:val="000000" w:themeColor="text1"/>
              </w:rPr>
              <w:t xml:space="preserve">Journal Hours in SAE Projects </w:t>
            </w:r>
          </w:p>
        </w:tc>
        <w:tc>
          <w:tcPr>
            <w:tcW w:w="1350" w:type="dxa"/>
            <w:tcBorders>
              <w:top w:val="nil"/>
              <w:left w:val="nil"/>
              <w:bottom w:val="nil"/>
              <w:right w:val="nil"/>
            </w:tcBorders>
            <w:shd w:val="clear" w:color="auto" w:fill="auto"/>
            <w:noWrap/>
            <w:hideMark/>
          </w:tcPr>
          <w:p w14:paraId="3A3E95F7" w14:textId="581241BF" w:rsidR="00BE7AEF" w:rsidRPr="00192227" w:rsidRDefault="00BE7AEF" w:rsidP="00BE7AEF">
            <w:pPr>
              <w:jc w:val="center"/>
              <w:rPr>
                <w:rFonts w:asciiTheme="minorHAnsi" w:eastAsia="Times New Roman" w:hAnsiTheme="minorHAnsi"/>
                <w:color w:val="000000" w:themeColor="text1"/>
              </w:rPr>
            </w:pPr>
            <w:r w:rsidRPr="00BE7AEF">
              <w:rPr>
                <w:rFonts w:asciiTheme="minorHAnsi" w:eastAsia="Times New Roman" w:hAnsiTheme="minorHAnsi"/>
                <w:color w:val="000000" w:themeColor="text1"/>
              </w:rPr>
              <w:t>4,295.8</w:t>
            </w:r>
          </w:p>
        </w:tc>
        <w:tc>
          <w:tcPr>
            <w:tcW w:w="900" w:type="dxa"/>
            <w:tcBorders>
              <w:top w:val="nil"/>
              <w:left w:val="nil"/>
              <w:bottom w:val="nil"/>
              <w:right w:val="nil"/>
            </w:tcBorders>
          </w:tcPr>
          <w:p w14:paraId="655FE2B6" w14:textId="67E0100F" w:rsidR="00BE7AEF" w:rsidRPr="00192227" w:rsidRDefault="00BE7AEF" w:rsidP="00BE7AEF">
            <w:pPr>
              <w:jc w:val="center"/>
              <w:rPr>
                <w:rFonts w:asciiTheme="minorHAnsi" w:eastAsia="Times New Roman" w:hAnsiTheme="minorHAnsi"/>
                <w:color w:val="000000" w:themeColor="text1"/>
              </w:rPr>
            </w:pPr>
            <w:r w:rsidRPr="00BE7AEF">
              <w:rPr>
                <w:rFonts w:asciiTheme="minorHAnsi" w:eastAsia="Times New Roman" w:hAnsiTheme="minorHAnsi"/>
                <w:color w:val="000000" w:themeColor="text1"/>
              </w:rPr>
              <w:t>79.6%</w:t>
            </w:r>
          </w:p>
        </w:tc>
        <w:tc>
          <w:tcPr>
            <w:tcW w:w="2148" w:type="dxa"/>
            <w:tcBorders>
              <w:top w:val="nil"/>
              <w:left w:val="nil"/>
              <w:bottom w:val="nil"/>
              <w:right w:val="nil"/>
            </w:tcBorders>
            <w:shd w:val="clear" w:color="auto" w:fill="auto"/>
            <w:noWrap/>
            <w:hideMark/>
          </w:tcPr>
          <w:p w14:paraId="0E0BE685" w14:textId="0414FD11" w:rsidR="00BE7AEF" w:rsidRPr="00192227" w:rsidRDefault="00BE7AEF" w:rsidP="00BE7AEF">
            <w:pPr>
              <w:jc w:val="right"/>
              <w:rPr>
                <w:rFonts w:asciiTheme="minorHAnsi" w:eastAsia="Times New Roman" w:hAnsiTheme="minorHAnsi"/>
                <w:color w:val="000000" w:themeColor="text1"/>
              </w:rPr>
            </w:pPr>
            <w:r w:rsidRPr="00BE7AEF">
              <w:rPr>
                <w:rFonts w:asciiTheme="minorHAnsi" w:eastAsia="Times New Roman" w:hAnsiTheme="minorHAnsi"/>
                <w:color w:val="000000" w:themeColor="text1"/>
              </w:rPr>
              <w:t>37,540,766</w:t>
            </w:r>
          </w:p>
        </w:tc>
      </w:tr>
      <w:tr w:rsidR="00BE7AEF" w:rsidRPr="00192227" w14:paraId="7515857F" w14:textId="77777777" w:rsidTr="00685D8F">
        <w:trPr>
          <w:trHeight w:val="320"/>
        </w:trPr>
        <w:tc>
          <w:tcPr>
            <w:tcW w:w="5574" w:type="dxa"/>
            <w:tcBorders>
              <w:top w:val="nil"/>
              <w:left w:val="nil"/>
              <w:bottom w:val="nil"/>
              <w:right w:val="nil"/>
            </w:tcBorders>
            <w:shd w:val="clear" w:color="auto" w:fill="auto"/>
            <w:noWrap/>
            <w:vAlign w:val="center"/>
            <w:hideMark/>
          </w:tcPr>
          <w:p w14:paraId="671DD472" w14:textId="1F438869" w:rsidR="00BE7AEF" w:rsidRPr="00192227" w:rsidRDefault="00BE7AEF" w:rsidP="00BE7AEF">
            <w:pPr>
              <w:rPr>
                <w:rFonts w:asciiTheme="minorHAnsi" w:eastAsia="Times New Roman" w:hAnsiTheme="minorHAnsi"/>
                <w:color w:val="000000" w:themeColor="text1"/>
              </w:rPr>
            </w:pPr>
            <w:r w:rsidRPr="00192227">
              <w:rPr>
                <w:rFonts w:asciiTheme="minorHAnsi" w:eastAsia="Times New Roman" w:hAnsiTheme="minorHAnsi"/>
                <w:color w:val="000000" w:themeColor="text1"/>
              </w:rPr>
              <w:t xml:space="preserve">Journal Hours in FFA Activities </w:t>
            </w:r>
            <w:r w:rsidRPr="00192227">
              <w:rPr>
                <w:rFonts w:asciiTheme="minorHAnsi" w:eastAsia="Times New Roman" w:hAnsiTheme="minorHAnsi"/>
                <w:color w:val="000000" w:themeColor="text1"/>
                <w:sz w:val="20"/>
                <w:szCs w:val="20"/>
              </w:rPr>
              <w:t>(Offices, CDE, Committees)</w:t>
            </w:r>
          </w:p>
        </w:tc>
        <w:tc>
          <w:tcPr>
            <w:tcW w:w="1350" w:type="dxa"/>
            <w:tcBorders>
              <w:top w:val="nil"/>
              <w:left w:val="nil"/>
              <w:bottom w:val="nil"/>
              <w:right w:val="nil"/>
            </w:tcBorders>
            <w:shd w:val="clear" w:color="auto" w:fill="auto"/>
            <w:noWrap/>
            <w:hideMark/>
          </w:tcPr>
          <w:p w14:paraId="7E6BF533" w14:textId="7D5EDE5C" w:rsidR="00BE7AEF" w:rsidRPr="00192227" w:rsidRDefault="00BE7AEF" w:rsidP="00BE7AEF">
            <w:pPr>
              <w:jc w:val="center"/>
              <w:rPr>
                <w:rFonts w:asciiTheme="minorHAnsi" w:eastAsia="Times New Roman" w:hAnsiTheme="minorHAnsi"/>
                <w:color w:val="000000" w:themeColor="text1"/>
              </w:rPr>
            </w:pPr>
            <w:r w:rsidRPr="00BE7AEF">
              <w:rPr>
                <w:rFonts w:asciiTheme="minorHAnsi" w:eastAsia="Times New Roman" w:hAnsiTheme="minorHAnsi"/>
                <w:color w:val="000000" w:themeColor="text1"/>
              </w:rPr>
              <w:t>852.8</w:t>
            </w:r>
          </w:p>
        </w:tc>
        <w:tc>
          <w:tcPr>
            <w:tcW w:w="900" w:type="dxa"/>
            <w:tcBorders>
              <w:top w:val="nil"/>
              <w:left w:val="nil"/>
              <w:bottom w:val="nil"/>
              <w:right w:val="nil"/>
            </w:tcBorders>
          </w:tcPr>
          <w:p w14:paraId="70867AE2" w14:textId="1B426850" w:rsidR="00BE7AEF" w:rsidRPr="00192227" w:rsidRDefault="00BE7AEF" w:rsidP="00BE7AEF">
            <w:pPr>
              <w:jc w:val="center"/>
              <w:rPr>
                <w:rFonts w:asciiTheme="minorHAnsi" w:eastAsia="Times New Roman" w:hAnsiTheme="minorHAnsi"/>
                <w:color w:val="000000" w:themeColor="text1"/>
              </w:rPr>
            </w:pPr>
            <w:r w:rsidRPr="00BE7AEF">
              <w:rPr>
                <w:rFonts w:asciiTheme="minorHAnsi" w:eastAsia="Times New Roman" w:hAnsiTheme="minorHAnsi"/>
                <w:color w:val="000000" w:themeColor="text1"/>
              </w:rPr>
              <w:t>15.8%</w:t>
            </w:r>
          </w:p>
        </w:tc>
        <w:tc>
          <w:tcPr>
            <w:tcW w:w="2148" w:type="dxa"/>
            <w:tcBorders>
              <w:top w:val="nil"/>
              <w:left w:val="nil"/>
              <w:bottom w:val="nil"/>
              <w:right w:val="nil"/>
            </w:tcBorders>
            <w:shd w:val="clear" w:color="auto" w:fill="auto"/>
            <w:noWrap/>
            <w:hideMark/>
          </w:tcPr>
          <w:p w14:paraId="0EAAA9EE" w14:textId="5ED44532" w:rsidR="00BE7AEF" w:rsidRPr="00192227" w:rsidRDefault="00BE7AEF" w:rsidP="00BE7AEF">
            <w:pPr>
              <w:jc w:val="right"/>
              <w:rPr>
                <w:rFonts w:asciiTheme="minorHAnsi" w:eastAsia="Times New Roman" w:hAnsiTheme="minorHAnsi"/>
                <w:color w:val="000000" w:themeColor="text1"/>
              </w:rPr>
            </w:pPr>
            <w:r w:rsidRPr="00BE7AEF">
              <w:rPr>
                <w:rFonts w:asciiTheme="minorHAnsi" w:eastAsia="Times New Roman" w:hAnsiTheme="minorHAnsi"/>
                <w:color w:val="000000" w:themeColor="text1"/>
              </w:rPr>
              <w:t>7,452,77</w:t>
            </w:r>
            <w:r>
              <w:rPr>
                <w:rFonts w:asciiTheme="minorHAnsi" w:eastAsia="Times New Roman" w:hAnsiTheme="minorHAnsi"/>
                <w:color w:val="000000" w:themeColor="text1"/>
              </w:rPr>
              <w:t>9</w:t>
            </w:r>
          </w:p>
        </w:tc>
      </w:tr>
      <w:tr w:rsidR="00BE7AEF" w:rsidRPr="00192227" w14:paraId="2892E968" w14:textId="77777777" w:rsidTr="00685D8F">
        <w:trPr>
          <w:trHeight w:val="340"/>
        </w:trPr>
        <w:tc>
          <w:tcPr>
            <w:tcW w:w="5574" w:type="dxa"/>
            <w:tcBorders>
              <w:top w:val="nil"/>
              <w:left w:val="nil"/>
              <w:bottom w:val="single" w:sz="8" w:space="0" w:color="auto"/>
              <w:right w:val="nil"/>
            </w:tcBorders>
            <w:shd w:val="clear" w:color="auto" w:fill="auto"/>
            <w:noWrap/>
            <w:vAlign w:val="center"/>
            <w:hideMark/>
          </w:tcPr>
          <w:p w14:paraId="55AF463B" w14:textId="7CD4EDA5" w:rsidR="00BE7AEF" w:rsidRPr="00192227" w:rsidRDefault="00BE7AEF" w:rsidP="00BE7AEF">
            <w:pPr>
              <w:rPr>
                <w:rFonts w:asciiTheme="minorHAnsi" w:eastAsia="Times New Roman" w:hAnsiTheme="minorHAnsi"/>
                <w:color w:val="000000" w:themeColor="text1"/>
              </w:rPr>
            </w:pPr>
            <w:r w:rsidRPr="00192227">
              <w:rPr>
                <w:rFonts w:asciiTheme="minorHAnsi" w:eastAsia="Times New Roman" w:hAnsiTheme="minorHAnsi"/>
                <w:color w:val="000000" w:themeColor="text1"/>
              </w:rPr>
              <w:t>Journal Hours in Community Service Activities</w:t>
            </w:r>
          </w:p>
        </w:tc>
        <w:tc>
          <w:tcPr>
            <w:tcW w:w="1350" w:type="dxa"/>
            <w:tcBorders>
              <w:top w:val="nil"/>
              <w:left w:val="nil"/>
              <w:bottom w:val="single" w:sz="8" w:space="0" w:color="auto"/>
              <w:right w:val="nil"/>
            </w:tcBorders>
            <w:shd w:val="clear" w:color="auto" w:fill="auto"/>
            <w:noWrap/>
            <w:hideMark/>
          </w:tcPr>
          <w:p w14:paraId="40263141" w14:textId="24E385A3" w:rsidR="00BE7AEF" w:rsidRPr="00192227" w:rsidRDefault="00BE7AEF" w:rsidP="00BE7AEF">
            <w:pPr>
              <w:jc w:val="center"/>
              <w:rPr>
                <w:rFonts w:asciiTheme="minorHAnsi" w:eastAsia="Times New Roman" w:hAnsiTheme="minorHAnsi"/>
                <w:color w:val="000000" w:themeColor="text1"/>
              </w:rPr>
            </w:pPr>
            <w:r w:rsidRPr="00BE7AEF">
              <w:rPr>
                <w:rFonts w:asciiTheme="minorHAnsi" w:eastAsia="Times New Roman" w:hAnsiTheme="minorHAnsi"/>
                <w:color w:val="000000" w:themeColor="text1"/>
              </w:rPr>
              <w:t>250.8</w:t>
            </w:r>
          </w:p>
        </w:tc>
        <w:tc>
          <w:tcPr>
            <w:tcW w:w="900" w:type="dxa"/>
            <w:tcBorders>
              <w:top w:val="nil"/>
              <w:left w:val="nil"/>
              <w:bottom w:val="single" w:sz="8" w:space="0" w:color="auto"/>
              <w:right w:val="nil"/>
            </w:tcBorders>
          </w:tcPr>
          <w:p w14:paraId="18420C15" w14:textId="236FD472" w:rsidR="00BE7AEF" w:rsidRPr="00192227" w:rsidRDefault="00BE7AEF" w:rsidP="00BE7AEF">
            <w:pPr>
              <w:jc w:val="center"/>
              <w:rPr>
                <w:rFonts w:asciiTheme="minorHAnsi" w:eastAsia="Times New Roman" w:hAnsiTheme="minorHAnsi"/>
                <w:color w:val="000000" w:themeColor="text1"/>
              </w:rPr>
            </w:pPr>
            <w:r w:rsidRPr="00BE7AEF">
              <w:rPr>
                <w:rFonts w:asciiTheme="minorHAnsi" w:eastAsia="Times New Roman" w:hAnsiTheme="minorHAnsi"/>
                <w:color w:val="000000" w:themeColor="text1"/>
              </w:rPr>
              <w:t>4.6%</w:t>
            </w:r>
          </w:p>
        </w:tc>
        <w:tc>
          <w:tcPr>
            <w:tcW w:w="2148" w:type="dxa"/>
            <w:tcBorders>
              <w:top w:val="nil"/>
              <w:left w:val="nil"/>
              <w:bottom w:val="single" w:sz="8" w:space="0" w:color="auto"/>
              <w:right w:val="nil"/>
            </w:tcBorders>
            <w:shd w:val="clear" w:color="auto" w:fill="auto"/>
            <w:noWrap/>
            <w:hideMark/>
          </w:tcPr>
          <w:p w14:paraId="143C7311" w14:textId="6A90FABD" w:rsidR="00BE7AEF" w:rsidRPr="00192227" w:rsidRDefault="00BE7AEF" w:rsidP="00BE7AEF">
            <w:pPr>
              <w:jc w:val="right"/>
              <w:rPr>
                <w:rFonts w:asciiTheme="minorHAnsi" w:eastAsia="Times New Roman" w:hAnsiTheme="minorHAnsi"/>
                <w:color w:val="000000" w:themeColor="text1"/>
              </w:rPr>
            </w:pPr>
            <w:r w:rsidRPr="00BE7AEF">
              <w:rPr>
                <w:rFonts w:asciiTheme="minorHAnsi" w:eastAsia="Times New Roman" w:hAnsiTheme="minorHAnsi"/>
                <w:color w:val="000000" w:themeColor="text1"/>
              </w:rPr>
              <w:t>2,191,42</w:t>
            </w:r>
            <w:r>
              <w:rPr>
                <w:rFonts w:asciiTheme="minorHAnsi" w:eastAsia="Times New Roman" w:hAnsiTheme="minorHAnsi"/>
                <w:color w:val="000000" w:themeColor="text1"/>
              </w:rPr>
              <w:t>1</w:t>
            </w:r>
          </w:p>
        </w:tc>
      </w:tr>
      <w:tr w:rsidR="00BE7AEF" w:rsidRPr="00192227" w14:paraId="37A90206" w14:textId="77777777" w:rsidTr="00685D8F">
        <w:trPr>
          <w:trHeight w:val="340"/>
        </w:trPr>
        <w:tc>
          <w:tcPr>
            <w:tcW w:w="5574" w:type="dxa"/>
            <w:tcBorders>
              <w:top w:val="nil"/>
              <w:left w:val="nil"/>
              <w:bottom w:val="single" w:sz="8" w:space="0" w:color="auto"/>
              <w:right w:val="nil"/>
            </w:tcBorders>
            <w:shd w:val="clear" w:color="auto" w:fill="auto"/>
            <w:noWrap/>
            <w:vAlign w:val="center"/>
            <w:hideMark/>
          </w:tcPr>
          <w:p w14:paraId="27110A5B" w14:textId="37CB6FFC" w:rsidR="00BE7AEF" w:rsidRPr="00192227" w:rsidRDefault="00BE7AEF" w:rsidP="00BE7AEF">
            <w:pPr>
              <w:jc w:val="right"/>
              <w:rPr>
                <w:rFonts w:asciiTheme="minorHAnsi" w:eastAsia="Times New Roman" w:hAnsiTheme="minorHAnsi"/>
                <w:color w:val="000000" w:themeColor="text1"/>
              </w:rPr>
            </w:pPr>
            <w:r w:rsidRPr="00192227">
              <w:rPr>
                <w:rFonts w:asciiTheme="minorHAnsi" w:eastAsia="Times New Roman" w:hAnsiTheme="minorHAnsi"/>
                <w:color w:val="000000" w:themeColor="text1"/>
              </w:rPr>
              <w:t>Total Hours</w:t>
            </w:r>
          </w:p>
        </w:tc>
        <w:tc>
          <w:tcPr>
            <w:tcW w:w="1350" w:type="dxa"/>
            <w:tcBorders>
              <w:top w:val="nil"/>
              <w:left w:val="nil"/>
              <w:bottom w:val="single" w:sz="8" w:space="0" w:color="auto"/>
              <w:right w:val="nil"/>
            </w:tcBorders>
            <w:shd w:val="clear" w:color="auto" w:fill="auto"/>
            <w:noWrap/>
            <w:hideMark/>
          </w:tcPr>
          <w:p w14:paraId="53C71B26" w14:textId="33C797B1" w:rsidR="00BE7AEF" w:rsidRPr="00192227" w:rsidRDefault="00BE7AEF" w:rsidP="00BE7AEF">
            <w:pPr>
              <w:jc w:val="center"/>
              <w:rPr>
                <w:rFonts w:asciiTheme="minorHAnsi" w:eastAsia="Times New Roman" w:hAnsiTheme="minorHAnsi"/>
                <w:color w:val="000000" w:themeColor="text1"/>
              </w:rPr>
            </w:pPr>
            <w:r w:rsidRPr="00BE7AEF">
              <w:rPr>
                <w:rFonts w:asciiTheme="minorHAnsi" w:eastAsia="Times New Roman" w:hAnsiTheme="minorHAnsi"/>
                <w:color w:val="000000" w:themeColor="text1"/>
              </w:rPr>
              <w:t>5,399.4</w:t>
            </w:r>
          </w:p>
        </w:tc>
        <w:tc>
          <w:tcPr>
            <w:tcW w:w="900" w:type="dxa"/>
            <w:tcBorders>
              <w:top w:val="nil"/>
              <w:left w:val="nil"/>
              <w:bottom w:val="single" w:sz="8" w:space="0" w:color="auto"/>
              <w:right w:val="nil"/>
            </w:tcBorders>
          </w:tcPr>
          <w:p w14:paraId="0E808A4F" w14:textId="0B1323D7" w:rsidR="00BE7AEF" w:rsidRPr="00192227" w:rsidRDefault="00BE7AEF" w:rsidP="00BE7AEF">
            <w:pPr>
              <w:jc w:val="center"/>
              <w:rPr>
                <w:rFonts w:asciiTheme="minorHAnsi" w:eastAsia="Times New Roman" w:hAnsiTheme="minorHAnsi"/>
                <w:color w:val="000000" w:themeColor="text1"/>
              </w:rPr>
            </w:pPr>
          </w:p>
        </w:tc>
        <w:tc>
          <w:tcPr>
            <w:tcW w:w="2148" w:type="dxa"/>
            <w:tcBorders>
              <w:top w:val="nil"/>
              <w:left w:val="nil"/>
              <w:bottom w:val="single" w:sz="8" w:space="0" w:color="auto"/>
              <w:right w:val="nil"/>
            </w:tcBorders>
            <w:shd w:val="clear" w:color="auto" w:fill="auto"/>
            <w:noWrap/>
            <w:hideMark/>
          </w:tcPr>
          <w:p w14:paraId="186975B2" w14:textId="3D3482B8" w:rsidR="00BE7AEF" w:rsidRPr="00192227" w:rsidRDefault="00BE7AEF" w:rsidP="00BE7AEF">
            <w:pPr>
              <w:jc w:val="right"/>
              <w:rPr>
                <w:rFonts w:asciiTheme="minorHAnsi" w:eastAsia="Times New Roman" w:hAnsiTheme="minorHAnsi"/>
                <w:color w:val="000000" w:themeColor="text1"/>
              </w:rPr>
            </w:pPr>
            <w:r w:rsidRPr="00BE7AEF">
              <w:rPr>
                <w:rFonts w:asciiTheme="minorHAnsi" w:eastAsia="Times New Roman" w:hAnsiTheme="minorHAnsi"/>
                <w:color w:val="000000" w:themeColor="text1"/>
              </w:rPr>
              <w:t>47,184,96</w:t>
            </w:r>
            <w:r>
              <w:rPr>
                <w:rFonts w:asciiTheme="minorHAnsi" w:eastAsia="Times New Roman" w:hAnsiTheme="minorHAnsi"/>
                <w:color w:val="000000" w:themeColor="text1"/>
              </w:rPr>
              <w:t>6</w:t>
            </w:r>
          </w:p>
        </w:tc>
      </w:tr>
    </w:tbl>
    <w:p w14:paraId="716A2C7C" w14:textId="77777777" w:rsidR="006575B2" w:rsidRPr="00192227" w:rsidRDefault="006575B2" w:rsidP="00192227">
      <w:pPr>
        <w:pStyle w:val="BodyText"/>
        <w:spacing w:after="0"/>
        <w:rPr>
          <w:rFonts w:ascii="Baskerville Old Face" w:hAnsi="Baskerville Old Face"/>
          <w:color w:val="000000" w:themeColor="text1"/>
          <w:sz w:val="24"/>
          <w:szCs w:val="24"/>
        </w:rPr>
      </w:pPr>
    </w:p>
    <w:p w14:paraId="6A75C69A" w14:textId="77777777" w:rsidR="00215EB7" w:rsidRDefault="00972E60" w:rsidP="00215EB7">
      <w:pPr>
        <w:pStyle w:val="BodyText"/>
        <w:spacing w:after="0"/>
        <w:rPr>
          <w:rFonts w:ascii="Baskerville Old Face" w:hAnsi="Baskerville Old Face"/>
          <w:color w:val="000000" w:themeColor="text1"/>
          <w:sz w:val="24"/>
          <w:szCs w:val="24"/>
        </w:rPr>
      </w:pPr>
      <w:r w:rsidRPr="00192227">
        <w:rPr>
          <w:rFonts w:ascii="Baskerville Old Face" w:hAnsi="Baskerville Old Face"/>
          <w:color w:val="000000" w:themeColor="text1"/>
          <w:sz w:val="24"/>
          <w:szCs w:val="24"/>
        </w:rPr>
        <w:lastRenderedPageBreak/>
        <w:t xml:space="preserve">As illustrated in Table 5, </w:t>
      </w:r>
      <w:r w:rsidR="00EF4598" w:rsidRPr="00192227">
        <w:rPr>
          <w:rFonts w:ascii="Baskerville Old Face" w:hAnsi="Baskerville Old Face"/>
          <w:color w:val="000000" w:themeColor="text1"/>
          <w:sz w:val="24"/>
          <w:szCs w:val="24"/>
        </w:rPr>
        <w:t xml:space="preserve">the </w:t>
      </w:r>
      <w:r w:rsidRPr="00192227">
        <w:rPr>
          <w:rFonts w:ascii="Baskerville Old Face" w:hAnsi="Baskerville Old Face"/>
          <w:color w:val="000000" w:themeColor="text1"/>
          <w:sz w:val="24"/>
          <w:szCs w:val="24"/>
        </w:rPr>
        <w:t xml:space="preserve">total experiential learning time is estimated at </w:t>
      </w:r>
      <w:r w:rsidR="00BE7AEF">
        <w:rPr>
          <w:rFonts w:ascii="Baskerville Old Face" w:hAnsi="Baskerville Old Face"/>
          <w:color w:val="000000" w:themeColor="text1"/>
          <w:sz w:val="24"/>
          <w:szCs w:val="24"/>
        </w:rPr>
        <w:t>47</w:t>
      </w:r>
      <w:r w:rsidRPr="00192227">
        <w:rPr>
          <w:rFonts w:ascii="Baskerville Old Face" w:hAnsi="Baskerville Old Face"/>
          <w:color w:val="000000" w:themeColor="text1"/>
          <w:sz w:val="24"/>
          <w:szCs w:val="24"/>
        </w:rPr>
        <w:t>.</w:t>
      </w:r>
      <w:r w:rsidR="00BE7AEF">
        <w:rPr>
          <w:rFonts w:ascii="Baskerville Old Face" w:hAnsi="Baskerville Old Face"/>
          <w:color w:val="000000" w:themeColor="text1"/>
          <w:sz w:val="24"/>
          <w:szCs w:val="24"/>
        </w:rPr>
        <w:t>1</w:t>
      </w:r>
      <w:r w:rsidRPr="00192227">
        <w:rPr>
          <w:rFonts w:ascii="Baskerville Old Face" w:hAnsi="Baskerville Old Face"/>
          <w:color w:val="000000" w:themeColor="text1"/>
          <w:sz w:val="24"/>
          <w:szCs w:val="24"/>
        </w:rPr>
        <w:t xml:space="preserve"> million hours in </w:t>
      </w:r>
      <w:r w:rsidR="00BE7AEF">
        <w:rPr>
          <w:rFonts w:ascii="Baskerville Old Face" w:hAnsi="Baskerville Old Face"/>
          <w:color w:val="000000" w:themeColor="text1"/>
          <w:sz w:val="24"/>
          <w:szCs w:val="24"/>
        </w:rPr>
        <w:t>2019, which is an increase from 2018 values (</w:t>
      </w:r>
      <w:r w:rsidR="00215EB7">
        <w:rPr>
          <w:rFonts w:ascii="Baskerville Old Face" w:hAnsi="Baskerville Old Face"/>
          <w:color w:val="000000" w:themeColor="text1"/>
          <w:sz w:val="24"/>
          <w:szCs w:val="24"/>
        </w:rPr>
        <w:t>43.6 million)</w:t>
      </w:r>
      <w:r w:rsidRPr="00192227">
        <w:rPr>
          <w:rFonts w:ascii="Baskerville Old Face" w:hAnsi="Baskerville Old Face"/>
          <w:color w:val="000000" w:themeColor="text1"/>
          <w:sz w:val="24"/>
          <w:szCs w:val="24"/>
        </w:rPr>
        <w:t xml:space="preserve">.  </w:t>
      </w:r>
      <w:r w:rsidR="00215EB7">
        <w:rPr>
          <w:rFonts w:ascii="Baskerville Old Face" w:hAnsi="Baskerville Old Face"/>
          <w:color w:val="000000" w:themeColor="text1"/>
          <w:sz w:val="24"/>
          <w:szCs w:val="24"/>
        </w:rPr>
        <w:t xml:space="preserve">The highest area of engagement is SAE journaling, which connects to recording academic skills and hours.  However, additional engagement in FFA and community service also offer experiential learning activities. </w:t>
      </w:r>
    </w:p>
    <w:p w14:paraId="13E95335" w14:textId="77777777" w:rsidR="00215EB7" w:rsidRDefault="00215EB7" w:rsidP="00215EB7">
      <w:pPr>
        <w:pStyle w:val="BodyText"/>
        <w:spacing w:after="0"/>
        <w:rPr>
          <w:rFonts w:ascii="Baskerville Old Face" w:hAnsi="Baskerville Old Face"/>
          <w:color w:val="000000" w:themeColor="text1"/>
          <w:sz w:val="24"/>
          <w:szCs w:val="24"/>
        </w:rPr>
      </w:pPr>
    </w:p>
    <w:p w14:paraId="666BE299" w14:textId="4350F58F" w:rsidR="00AB55BE" w:rsidRPr="00192227" w:rsidRDefault="00850F25" w:rsidP="00215EB7">
      <w:pPr>
        <w:pStyle w:val="BodyText"/>
        <w:spacing w:after="0"/>
        <w:rPr>
          <w:rFonts w:ascii="Baskerville Old Face" w:hAnsi="Baskerville Old Face"/>
          <w:color w:val="4F7AB5" w:themeColor="accent4"/>
          <w:sz w:val="32"/>
          <w:szCs w:val="32"/>
        </w:rPr>
      </w:pPr>
      <w:r>
        <w:rPr>
          <w:rFonts w:ascii="Baskerville Old Face" w:hAnsi="Baskerville Old Face"/>
          <w:color w:val="4F7AB5" w:themeColor="accent4"/>
          <w:sz w:val="32"/>
          <w:szCs w:val="32"/>
        </w:rPr>
        <w:t>2019</w:t>
      </w:r>
      <w:r w:rsidR="003521A9" w:rsidRPr="00192227">
        <w:rPr>
          <w:rFonts w:ascii="Baskerville Old Face" w:hAnsi="Baskerville Old Face"/>
          <w:color w:val="4F7AB5" w:themeColor="accent4"/>
          <w:sz w:val="32"/>
          <w:szCs w:val="32"/>
        </w:rPr>
        <w:t xml:space="preserve"> </w:t>
      </w:r>
      <w:r w:rsidR="00AB55BE" w:rsidRPr="00192227">
        <w:rPr>
          <w:rFonts w:ascii="Baskerville Old Face" w:hAnsi="Baskerville Old Face"/>
          <w:color w:val="4F7AB5" w:themeColor="accent4"/>
          <w:sz w:val="32"/>
          <w:szCs w:val="32"/>
        </w:rPr>
        <w:t>Economic Values from SAE Engag</w:t>
      </w:r>
      <w:r w:rsidR="003521A9" w:rsidRPr="00192227">
        <w:rPr>
          <w:rFonts w:ascii="Baskerville Old Face" w:hAnsi="Baskerville Old Face"/>
          <w:color w:val="4F7AB5" w:themeColor="accent4"/>
          <w:sz w:val="32"/>
          <w:szCs w:val="32"/>
        </w:rPr>
        <w:t>ement in Agricultural Education</w:t>
      </w:r>
    </w:p>
    <w:p w14:paraId="53AD5447" w14:textId="77777777" w:rsidR="00215EB7" w:rsidRDefault="00215EB7" w:rsidP="00215EB7">
      <w:pPr>
        <w:pStyle w:val="BodyText"/>
        <w:spacing w:after="0"/>
        <w:rPr>
          <w:rFonts w:ascii="Baskerville Old Face" w:hAnsi="Baskerville Old Face"/>
          <w:sz w:val="24"/>
          <w:szCs w:val="24"/>
        </w:rPr>
      </w:pPr>
    </w:p>
    <w:p w14:paraId="387A54FF" w14:textId="47D6C15D" w:rsidR="00172F57" w:rsidRPr="00192227" w:rsidRDefault="007C20E8" w:rsidP="00215EB7">
      <w:pPr>
        <w:pStyle w:val="BodyText"/>
        <w:spacing w:after="0"/>
        <w:rPr>
          <w:rFonts w:ascii="Baskerville Old Face" w:hAnsi="Baskerville Old Face"/>
          <w:sz w:val="24"/>
          <w:szCs w:val="24"/>
        </w:rPr>
      </w:pPr>
      <w:r w:rsidRPr="00192227">
        <w:rPr>
          <w:rFonts w:ascii="Baskerville Old Face" w:hAnsi="Baskerville Old Face"/>
          <w:sz w:val="24"/>
          <w:szCs w:val="24"/>
        </w:rPr>
        <w:t xml:space="preserve">Not only does </w:t>
      </w:r>
      <w:r w:rsidR="00AB55BE" w:rsidRPr="00192227">
        <w:rPr>
          <w:rFonts w:ascii="Baskerville Old Face" w:hAnsi="Baskerville Old Face"/>
          <w:sz w:val="24"/>
          <w:szCs w:val="24"/>
        </w:rPr>
        <w:t>SAE en</w:t>
      </w:r>
      <w:r w:rsidR="00BD5BC9" w:rsidRPr="00192227">
        <w:rPr>
          <w:rFonts w:ascii="Baskerville Old Face" w:hAnsi="Baskerville Old Face"/>
          <w:sz w:val="24"/>
          <w:szCs w:val="24"/>
        </w:rPr>
        <w:t xml:space="preserve">gagement </w:t>
      </w:r>
      <w:r w:rsidRPr="00192227">
        <w:rPr>
          <w:rFonts w:ascii="Baskerville Old Face" w:hAnsi="Baskerville Old Face"/>
          <w:sz w:val="24"/>
          <w:szCs w:val="24"/>
        </w:rPr>
        <w:t>involve time</w:t>
      </w:r>
      <w:r w:rsidR="006802B2" w:rsidRPr="00192227">
        <w:rPr>
          <w:rFonts w:ascii="Baskerville Old Face" w:hAnsi="Baskerville Old Face"/>
          <w:sz w:val="24"/>
          <w:szCs w:val="24"/>
        </w:rPr>
        <w:t xml:space="preserve"> </w:t>
      </w:r>
      <w:r w:rsidR="00786451" w:rsidRPr="00192227">
        <w:rPr>
          <w:rFonts w:ascii="Baskerville Old Face" w:hAnsi="Baskerville Old Face"/>
          <w:sz w:val="24"/>
          <w:szCs w:val="24"/>
        </w:rPr>
        <w:t>and learnin</w:t>
      </w:r>
      <w:r w:rsidR="00827AFE" w:rsidRPr="00192227">
        <w:rPr>
          <w:rFonts w:ascii="Baskerville Old Face" w:hAnsi="Baskerville Old Face"/>
          <w:sz w:val="24"/>
          <w:szCs w:val="24"/>
        </w:rPr>
        <w:t xml:space="preserve">g </w:t>
      </w:r>
      <w:r w:rsidR="00BD5BC9" w:rsidRPr="00192227">
        <w:rPr>
          <w:rFonts w:ascii="Baskerville Old Face" w:hAnsi="Baskerville Old Face"/>
          <w:sz w:val="24"/>
          <w:szCs w:val="24"/>
        </w:rPr>
        <w:t>but also</w:t>
      </w:r>
      <w:r w:rsidR="00040B45" w:rsidRPr="00192227">
        <w:rPr>
          <w:rFonts w:ascii="Baskerville Old Face" w:hAnsi="Baskerville Old Face"/>
          <w:sz w:val="24"/>
          <w:szCs w:val="24"/>
        </w:rPr>
        <w:t xml:space="preserve"> financial</w:t>
      </w:r>
      <w:r w:rsidR="003B7B58" w:rsidRPr="00192227">
        <w:rPr>
          <w:rFonts w:ascii="Baskerville Old Face" w:hAnsi="Baskerville Old Face"/>
          <w:sz w:val="24"/>
          <w:szCs w:val="24"/>
        </w:rPr>
        <w:t xml:space="preserve"> investments</w:t>
      </w:r>
      <w:r w:rsidR="00C236BC" w:rsidRPr="00192227">
        <w:rPr>
          <w:rFonts w:ascii="Baskerville Old Face" w:hAnsi="Baskerville Old Face"/>
          <w:sz w:val="24"/>
          <w:szCs w:val="24"/>
        </w:rPr>
        <w:t xml:space="preserve"> </w:t>
      </w:r>
      <w:r w:rsidR="00E840A3" w:rsidRPr="00192227">
        <w:rPr>
          <w:rFonts w:ascii="Baskerville Old Face" w:hAnsi="Baskerville Old Face"/>
          <w:sz w:val="24"/>
          <w:szCs w:val="24"/>
        </w:rPr>
        <w:t xml:space="preserve">and </w:t>
      </w:r>
      <w:r w:rsidR="00096E05" w:rsidRPr="00192227">
        <w:rPr>
          <w:rFonts w:ascii="Baskerville Old Face" w:hAnsi="Baskerville Old Face"/>
          <w:sz w:val="24"/>
          <w:szCs w:val="24"/>
        </w:rPr>
        <w:t>potential earnings</w:t>
      </w:r>
      <w:r w:rsidR="00040B45" w:rsidRPr="00192227">
        <w:rPr>
          <w:rFonts w:ascii="Baskerville Old Face" w:hAnsi="Baskerville Old Face"/>
          <w:sz w:val="24"/>
          <w:szCs w:val="24"/>
        </w:rPr>
        <w:t xml:space="preserve">. </w:t>
      </w:r>
      <w:r w:rsidR="00C236BC" w:rsidRPr="00192227">
        <w:rPr>
          <w:rFonts w:ascii="Baskerville Old Face" w:hAnsi="Baskerville Old Face"/>
          <w:sz w:val="24"/>
          <w:szCs w:val="24"/>
        </w:rPr>
        <w:t xml:space="preserve">Table </w:t>
      </w:r>
      <w:r w:rsidR="00215EB7">
        <w:rPr>
          <w:rFonts w:ascii="Baskerville Old Face" w:hAnsi="Baskerville Old Face"/>
          <w:sz w:val="24"/>
          <w:szCs w:val="24"/>
        </w:rPr>
        <w:t>6</w:t>
      </w:r>
      <w:r w:rsidR="00471FF2" w:rsidRPr="00192227">
        <w:rPr>
          <w:rFonts w:ascii="Baskerville Old Face" w:hAnsi="Baskerville Old Face"/>
          <w:sz w:val="24"/>
          <w:szCs w:val="24"/>
        </w:rPr>
        <w:t xml:space="preserve"> provides a summary of student</w:t>
      </w:r>
      <w:r w:rsidR="00172F57" w:rsidRPr="00192227">
        <w:rPr>
          <w:rFonts w:ascii="Baskerville Old Face" w:hAnsi="Baskerville Old Face"/>
          <w:sz w:val="24"/>
          <w:szCs w:val="24"/>
        </w:rPr>
        <w:t xml:space="preserve"> SAE earnings </w:t>
      </w:r>
      <w:r w:rsidR="00786451" w:rsidRPr="00192227">
        <w:rPr>
          <w:rFonts w:ascii="Baskerville Old Face" w:hAnsi="Baskerville Old Face"/>
          <w:sz w:val="24"/>
          <w:szCs w:val="24"/>
        </w:rPr>
        <w:t>for a typical</w:t>
      </w:r>
      <w:r w:rsidR="00172F57" w:rsidRPr="00192227">
        <w:rPr>
          <w:rFonts w:ascii="Baskerville Old Face" w:hAnsi="Baskerville Old Face"/>
          <w:sz w:val="24"/>
          <w:szCs w:val="24"/>
        </w:rPr>
        <w:t xml:space="preserve"> agricultural education program.</w:t>
      </w:r>
    </w:p>
    <w:p w14:paraId="5E40F748" w14:textId="77777777" w:rsidR="00215EB7" w:rsidRDefault="00215EB7" w:rsidP="00192227">
      <w:pPr>
        <w:pStyle w:val="BodyText"/>
        <w:spacing w:after="0"/>
        <w:rPr>
          <w:rFonts w:ascii="Baskerville" w:hAnsi="Baskerville"/>
          <w:sz w:val="24"/>
          <w:szCs w:val="24"/>
        </w:rPr>
      </w:pPr>
    </w:p>
    <w:p w14:paraId="2E12953F" w14:textId="674C7610" w:rsidR="005A0D5C" w:rsidRPr="00192227" w:rsidRDefault="00C236BC" w:rsidP="00192227">
      <w:pPr>
        <w:pStyle w:val="BodyText"/>
        <w:spacing w:after="0"/>
        <w:rPr>
          <w:rFonts w:ascii="Baskerville" w:hAnsi="Baskerville"/>
          <w:sz w:val="24"/>
          <w:szCs w:val="24"/>
        </w:rPr>
      </w:pPr>
      <w:r w:rsidRPr="00192227">
        <w:rPr>
          <w:rFonts w:ascii="Baskerville" w:hAnsi="Baskerville"/>
          <w:sz w:val="24"/>
          <w:szCs w:val="24"/>
        </w:rPr>
        <w:t xml:space="preserve">Table </w:t>
      </w:r>
      <w:r w:rsidR="00215EB7">
        <w:rPr>
          <w:rFonts w:ascii="Baskerville" w:hAnsi="Baskerville"/>
          <w:sz w:val="24"/>
          <w:szCs w:val="24"/>
        </w:rPr>
        <w:t>6</w:t>
      </w:r>
      <w:r w:rsidR="005A0D5C" w:rsidRPr="00192227">
        <w:rPr>
          <w:rFonts w:ascii="Baskerville" w:hAnsi="Baskerville"/>
          <w:sz w:val="24"/>
          <w:szCs w:val="24"/>
        </w:rPr>
        <w:t xml:space="preserve"> </w:t>
      </w:r>
      <w:r w:rsidR="00EC7C86" w:rsidRPr="00192227">
        <w:rPr>
          <w:rFonts w:ascii="Baskerville" w:hAnsi="Baskerville"/>
          <w:sz w:val="24"/>
          <w:szCs w:val="24"/>
        </w:rPr>
        <w:t>Income</w:t>
      </w:r>
      <w:r w:rsidR="000A3AAE" w:rsidRPr="00192227">
        <w:rPr>
          <w:rFonts w:ascii="Baskerville" w:hAnsi="Baskerville"/>
          <w:sz w:val="24"/>
          <w:szCs w:val="24"/>
        </w:rPr>
        <w:t xml:space="preserve"> Values from SAE Engagement in </w:t>
      </w:r>
      <w:r w:rsidR="005A0D5C" w:rsidRPr="00192227">
        <w:rPr>
          <w:rFonts w:ascii="Baskerville" w:hAnsi="Baskerville"/>
          <w:sz w:val="24"/>
          <w:szCs w:val="24"/>
        </w:rPr>
        <w:t>Agricultural Education Program</w:t>
      </w:r>
      <w:r w:rsidR="000A3AAE" w:rsidRPr="00192227">
        <w:rPr>
          <w:rFonts w:ascii="Baskerville" w:hAnsi="Baskerville"/>
          <w:sz w:val="24"/>
          <w:szCs w:val="24"/>
        </w:rPr>
        <w:t>s</w:t>
      </w:r>
      <w:r w:rsidR="00995FBD" w:rsidRPr="00192227">
        <w:rPr>
          <w:rFonts w:ascii="Baskerville" w:hAnsi="Baskerville"/>
          <w:sz w:val="24"/>
          <w:szCs w:val="24"/>
        </w:rPr>
        <w:t xml:space="preserve"> </w:t>
      </w:r>
      <w:r w:rsidR="00565105" w:rsidRPr="00192227">
        <w:rPr>
          <w:rFonts w:ascii="Baskerville" w:hAnsi="Baskerville"/>
          <w:sz w:val="24"/>
          <w:szCs w:val="24"/>
        </w:rPr>
        <w:t>(n=</w:t>
      </w:r>
      <w:r w:rsidR="00AC7272" w:rsidRPr="00192227">
        <w:rPr>
          <w:rFonts w:ascii="Baskerville" w:hAnsi="Baskerville"/>
          <w:sz w:val="24"/>
          <w:szCs w:val="24"/>
        </w:rPr>
        <w:t>4,</w:t>
      </w:r>
      <w:r w:rsidR="00215EB7">
        <w:rPr>
          <w:rFonts w:ascii="Baskerville" w:hAnsi="Baskerville"/>
          <w:sz w:val="24"/>
          <w:szCs w:val="24"/>
        </w:rPr>
        <w:t>432</w:t>
      </w:r>
      <w:r w:rsidR="00EA5656" w:rsidRPr="00192227">
        <w:rPr>
          <w:rFonts w:ascii="Baskerville" w:hAnsi="Baskerville"/>
          <w:sz w:val="24"/>
          <w:szCs w:val="24"/>
        </w:rPr>
        <w:t>)</w:t>
      </w:r>
    </w:p>
    <w:tbl>
      <w:tblPr>
        <w:tblW w:w="9636" w:type="dxa"/>
        <w:tblInd w:w="102" w:type="dxa"/>
        <w:tblLayout w:type="fixed"/>
        <w:tblLook w:val="04A0" w:firstRow="1" w:lastRow="0" w:firstColumn="1" w:lastColumn="0" w:noHBand="0" w:noVBand="1"/>
      </w:tblPr>
      <w:tblGrid>
        <w:gridCol w:w="3876"/>
        <w:gridCol w:w="1530"/>
        <w:gridCol w:w="1710"/>
        <w:gridCol w:w="2520"/>
      </w:tblGrid>
      <w:tr w:rsidR="0011687A" w:rsidRPr="00192227" w14:paraId="08DEEC85" w14:textId="77777777" w:rsidTr="00C236BC">
        <w:trPr>
          <w:trHeight w:val="660"/>
        </w:trPr>
        <w:tc>
          <w:tcPr>
            <w:tcW w:w="3876" w:type="dxa"/>
            <w:tcBorders>
              <w:top w:val="single" w:sz="8" w:space="0" w:color="auto"/>
              <w:left w:val="nil"/>
              <w:bottom w:val="single" w:sz="8" w:space="0" w:color="auto"/>
              <w:right w:val="nil"/>
            </w:tcBorders>
            <w:shd w:val="clear" w:color="auto" w:fill="auto"/>
            <w:vAlign w:val="center"/>
            <w:hideMark/>
          </w:tcPr>
          <w:p w14:paraId="1266783A" w14:textId="76F0523D" w:rsidR="0011687A" w:rsidRPr="00192227" w:rsidRDefault="0011687A" w:rsidP="00192227">
            <w:pPr>
              <w:rPr>
                <w:rFonts w:asciiTheme="minorHAnsi" w:eastAsia="Times New Roman" w:hAnsiTheme="minorHAnsi"/>
                <w:color w:val="000000"/>
              </w:rPr>
            </w:pPr>
            <w:r w:rsidRPr="00192227">
              <w:rPr>
                <w:rFonts w:asciiTheme="minorHAnsi" w:eastAsia="Times New Roman" w:hAnsiTheme="minorHAnsi"/>
                <w:color w:val="000000"/>
              </w:rPr>
              <w:t>Area of SAE Income</w:t>
            </w:r>
            <w:r w:rsidR="00C236BC" w:rsidRPr="00192227">
              <w:rPr>
                <w:rFonts w:asciiTheme="minorHAnsi" w:eastAsia="Times New Roman" w:hAnsiTheme="minorHAnsi"/>
                <w:color w:val="000000"/>
              </w:rPr>
              <w:t xml:space="preserve"> (SAE returns)</w:t>
            </w:r>
          </w:p>
        </w:tc>
        <w:tc>
          <w:tcPr>
            <w:tcW w:w="1530" w:type="dxa"/>
            <w:tcBorders>
              <w:top w:val="single" w:sz="8" w:space="0" w:color="auto"/>
              <w:left w:val="nil"/>
              <w:bottom w:val="single" w:sz="8" w:space="0" w:color="auto"/>
              <w:right w:val="nil"/>
            </w:tcBorders>
            <w:shd w:val="clear" w:color="auto" w:fill="auto"/>
            <w:vAlign w:val="center"/>
            <w:hideMark/>
          </w:tcPr>
          <w:p w14:paraId="64DB8A9D" w14:textId="77777777" w:rsidR="0011687A" w:rsidRPr="00192227" w:rsidRDefault="0011687A" w:rsidP="00192227">
            <w:pPr>
              <w:jc w:val="right"/>
              <w:rPr>
                <w:rFonts w:asciiTheme="minorHAnsi" w:eastAsia="Times New Roman" w:hAnsiTheme="minorHAnsi"/>
                <w:color w:val="000000"/>
              </w:rPr>
            </w:pPr>
            <w:r w:rsidRPr="00192227">
              <w:rPr>
                <w:rFonts w:asciiTheme="minorHAnsi" w:eastAsia="Times New Roman" w:hAnsiTheme="minorHAnsi"/>
                <w:color w:val="000000"/>
              </w:rPr>
              <w:t>Average</w:t>
            </w:r>
          </w:p>
          <w:p w14:paraId="001EF37C" w14:textId="556186FF" w:rsidR="0011687A" w:rsidRPr="00192227" w:rsidRDefault="0011687A" w:rsidP="00192227">
            <w:pPr>
              <w:jc w:val="right"/>
              <w:rPr>
                <w:rFonts w:asciiTheme="minorHAnsi" w:eastAsia="Times New Roman" w:hAnsiTheme="minorHAnsi"/>
                <w:color w:val="000000"/>
              </w:rPr>
            </w:pPr>
            <w:r w:rsidRPr="00192227">
              <w:rPr>
                <w:rFonts w:asciiTheme="minorHAnsi" w:eastAsia="Times New Roman" w:hAnsiTheme="minorHAnsi"/>
                <w:color w:val="000000"/>
                <w:sz w:val="20"/>
                <w:szCs w:val="20"/>
              </w:rPr>
              <w:t>(Per Program)</w:t>
            </w:r>
          </w:p>
        </w:tc>
        <w:tc>
          <w:tcPr>
            <w:tcW w:w="1710" w:type="dxa"/>
            <w:tcBorders>
              <w:top w:val="single" w:sz="8" w:space="0" w:color="auto"/>
              <w:left w:val="nil"/>
              <w:bottom w:val="single" w:sz="8" w:space="0" w:color="auto"/>
              <w:right w:val="nil"/>
            </w:tcBorders>
            <w:vAlign w:val="center"/>
          </w:tcPr>
          <w:p w14:paraId="21ADCB07" w14:textId="3D14E258" w:rsidR="0011687A" w:rsidRPr="00192227" w:rsidRDefault="0011687A" w:rsidP="00192227">
            <w:pPr>
              <w:jc w:val="center"/>
              <w:rPr>
                <w:rFonts w:asciiTheme="minorHAnsi" w:eastAsia="Times New Roman" w:hAnsiTheme="minorHAnsi"/>
                <w:color w:val="000000"/>
              </w:rPr>
            </w:pPr>
            <w:r w:rsidRPr="00192227">
              <w:rPr>
                <w:rFonts w:asciiTheme="minorHAnsi" w:eastAsia="Times New Roman" w:hAnsiTheme="minorHAnsi"/>
                <w:color w:val="000000"/>
              </w:rPr>
              <w:t>%</w:t>
            </w:r>
          </w:p>
        </w:tc>
        <w:tc>
          <w:tcPr>
            <w:tcW w:w="2520" w:type="dxa"/>
            <w:tcBorders>
              <w:top w:val="single" w:sz="8" w:space="0" w:color="auto"/>
              <w:left w:val="nil"/>
              <w:bottom w:val="single" w:sz="8" w:space="0" w:color="auto"/>
              <w:right w:val="nil"/>
            </w:tcBorders>
            <w:vAlign w:val="center"/>
          </w:tcPr>
          <w:p w14:paraId="4347B78A" w14:textId="5244841E" w:rsidR="00DB4115" w:rsidRPr="00192227" w:rsidRDefault="003452DC" w:rsidP="00192227">
            <w:pPr>
              <w:jc w:val="center"/>
              <w:rPr>
                <w:rFonts w:asciiTheme="minorHAnsi" w:eastAsia="Times New Roman" w:hAnsiTheme="minorHAnsi"/>
                <w:color w:val="000000"/>
              </w:rPr>
            </w:pPr>
            <w:r w:rsidRPr="00192227">
              <w:rPr>
                <w:rFonts w:asciiTheme="minorHAnsi" w:eastAsia="Times New Roman" w:hAnsiTheme="minorHAnsi"/>
                <w:color w:val="000000"/>
              </w:rPr>
              <w:t xml:space="preserve">National Estimate </w:t>
            </w:r>
          </w:p>
          <w:p w14:paraId="142DF9B4" w14:textId="1EDFE54C" w:rsidR="0011687A" w:rsidRPr="00192227" w:rsidRDefault="00C236BC" w:rsidP="00192227">
            <w:pPr>
              <w:jc w:val="center"/>
              <w:rPr>
                <w:rFonts w:asciiTheme="minorHAnsi" w:eastAsia="Times New Roman" w:hAnsiTheme="minorHAnsi"/>
                <w:color w:val="000000"/>
              </w:rPr>
            </w:pPr>
            <w:r w:rsidRPr="00192227">
              <w:rPr>
                <w:rFonts w:asciiTheme="minorHAnsi" w:eastAsia="Times New Roman" w:hAnsiTheme="minorHAnsi"/>
                <w:color w:val="000000"/>
                <w:sz w:val="20"/>
                <w:szCs w:val="20"/>
              </w:rPr>
              <w:t>(</w:t>
            </w:r>
            <w:r w:rsidR="00761D62" w:rsidRPr="00192227">
              <w:rPr>
                <w:rFonts w:asciiTheme="minorHAnsi" w:eastAsia="Times New Roman" w:hAnsiTheme="minorHAnsi"/>
                <w:color w:val="000000"/>
                <w:sz w:val="20"/>
                <w:szCs w:val="20"/>
              </w:rPr>
              <w:t>N=</w:t>
            </w:r>
            <w:r w:rsidR="00565105" w:rsidRPr="00192227">
              <w:rPr>
                <w:rFonts w:asciiTheme="minorHAnsi" w:eastAsia="Times New Roman" w:hAnsiTheme="minorHAnsi"/>
                <w:color w:val="000000"/>
                <w:sz w:val="20"/>
                <w:szCs w:val="20"/>
              </w:rPr>
              <w:t>8,</w:t>
            </w:r>
            <w:r w:rsidR="00215EB7">
              <w:rPr>
                <w:rFonts w:asciiTheme="minorHAnsi" w:eastAsia="Times New Roman" w:hAnsiTheme="minorHAnsi"/>
                <w:color w:val="000000"/>
                <w:sz w:val="20"/>
                <w:szCs w:val="20"/>
              </w:rPr>
              <w:t>739</w:t>
            </w:r>
            <w:r w:rsidRPr="00192227">
              <w:rPr>
                <w:rFonts w:asciiTheme="minorHAnsi" w:eastAsia="Times New Roman" w:hAnsiTheme="minorHAnsi"/>
                <w:color w:val="000000"/>
                <w:sz w:val="20"/>
                <w:szCs w:val="20"/>
              </w:rPr>
              <w:t xml:space="preserve"> </w:t>
            </w:r>
            <w:r w:rsidR="003452DC" w:rsidRPr="00192227">
              <w:rPr>
                <w:rFonts w:asciiTheme="minorHAnsi" w:eastAsia="Times New Roman" w:hAnsiTheme="minorHAnsi"/>
                <w:color w:val="000000"/>
                <w:sz w:val="20"/>
                <w:szCs w:val="20"/>
              </w:rPr>
              <w:t>Programs)</w:t>
            </w:r>
          </w:p>
        </w:tc>
      </w:tr>
      <w:tr w:rsidR="00215EB7" w:rsidRPr="00192227" w14:paraId="0CF4CDA5" w14:textId="77777777" w:rsidTr="00004E43">
        <w:trPr>
          <w:trHeight w:val="340"/>
        </w:trPr>
        <w:tc>
          <w:tcPr>
            <w:tcW w:w="3876" w:type="dxa"/>
            <w:tcBorders>
              <w:top w:val="nil"/>
              <w:left w:val="nil"/>
              <w:bottom w:val="nil"/>
              <w:right w:val="nil"/>
            </w:tcBorders>
            <w:shd w:val="clear" w:color="auto" w:fill="auto"/>
            <w:noWrap/>
            <w:hideMark/>
          </w:tcPr>
          <w:p w14:paraId="6B245DF1" w14:textId="40ACFF0E" w:rsidR="00215EB7" w:rsidRPr="00192227" w:rsidRDefault="00215EB7" w:rsidP="00215EB7">
            <w:pPr>
              <w:rPr>
                <w:rFonts w:asciiTheme="minorHAnsi" w:eastAsia="Times New Roman" w:hAnsiTheme="minorHAnsi"/>
                <w:color w:val="000000"/>
              </w:rPr>
            </w:pPr>
            <w:r w:rsidRPr="00192227">
              <w:rPr>
                <w:rFonts w:asciiTheme="minorHAnsi" w:hAnsiTheme="minorHAnsi"/>
              </w:rPr>
              <w:t>Paid Work Income</w:t>
            </w:r>
          </w:p>
        </w:tc>
        <w:tc>
          <w:tcPr>
            <w:tcW w:w="1530" w:type="dxa"/>
            <w:tcBorders>
              <w:top w:val="nil"/>
              <w:left w:val="nil"/>
              <w:bottom w:val="nil"/>
              <w:right w:val="nil"/>
            </w:tcBorders>
            <w:shd w:val="clear" w:color="auto" w:fill="auto"/>
            <w:noWrap/>
            <w:hideMark/>
          </w:tcPr>
          <w:p w14:paraId="6D34C628" w14:textId="45778610" w:rsidR="00215EB7" w:rsidRPr="00215EB7" w:rsidRDefault="00215EB7" w:rsidP="00215EB7">
            <w:pPr>
              <w:jc w:val="center"/>
              <w:rPr>
                <w:rFonts w:asciiTheme="minorHAnsi" w:hAnsiTheme="minorHAnsi"/>
              </w:rPr>
            </w:pPr>
            <w:r w:rsidRPr="00215EB7">
              <w:rPr>
                <w:rFonts w:asciiTheme="minorHAnsi" w:hAnsiTheme="minorHAnsi"/>
              </w:rPr>
              <w:t>$20,142</w:t>
            </w:r>
          </w:p>
        </w:tc>
        <w:tc>
          <w:tcPr>
            <w:tcW w:w="1710" w:type="dxa"/>
            <w:tcBorders>
              <w:top w:val="nil"/>
              <w:left w:val="nil"/>
              <w:bottom w:val="nil"/>
              <w:right w:val="nil"/>
            </w:tcBorders>
          </w:tcPr>
          <w:p w14:paraId="2FF0C834" w14:textId="71C0E6D5" w:rsidR="00215EB7" w:rsidRPr="00215EB7" w:rsidRDefault="00215EB7" w:rsidP="00215EB7">
            <w:pPr>
              <w:jc w:val="center"/>
              <w:rPr>
                <w:rFonts w:asciiTheme="minorHAnsi" w:hAnsiTheme="minorHAnsi"/>
              </w:rPr>
            </w:pPr>
            <w:r w:rsidRPr="00215EB7">
              <w:rPr>
                <w:rFonts w:asciiTheme="minorHAnsi" w:hAnsiTheme="minorHAnsi"/>
              </w:rPr>
              <w:t>39.3%</w:t>
            </w:r>
          </w:p>
        </w:tc>
        <w:tc>
          <w:tcPr>
            <w:tcW w:w="2520" w:type="dxa"/>
            <w:tcBorders>
              <w:top w:val="nil"/>
              <w:left w:val="nil"/>
              <w:bottom w:val="nil"/>
              <w:right w:val="nil"/>
            </w:tcBorders>
          </w:tcPr>
          <w:p w14:paraId="6D8E41FD" w14:textId="79BB9952" w:rsidR="00215EB7" w:rsidRPr="00215EB7" w:rsidRDefault="00215EB7" w:rsidP="00215EB7">
            <w:pPr>
              <w:jc w:val="center"/>
              <w:rPr>
                <w:rFonts w:asciiTheme="minorHAnsi" w:hAnsiTheme="minorHAnsi"/>
              </w:rPr>
            </w:pPr>
            <w:r w:rsidRPr="00215EB7">
              <w:rPr>
                <w:rFonts w:asciiTheme="minorHAnsi" w:hAnsiTheme="minorHAnsi"/>
              </w:rPr>
              <w:t>$176,017,759</w:t>
            </w:r>
          </w:p>
        </w:tc>
      </w:tr>
      <w:tr w:rsidR="00215EB7" w:rsidRPr="00192227" w14:paraId="66C940E7" w14:textId="77777777" w:rsidTr="00004E43">
        <w:trPr>
          <w:trHeight w:val="320"/>
        </w:trPr>
        <w:tc>
          <w:tcPr>
            <w:tcW w:w="3876" w:type="dxa"/>
            <w:tcBorders>
              <w:top w:val="nil"/>
              <w:left w:val="nil"/>
              <w:bottom w:val="nil"/>
              <w:right w:val="nil"/>
            </w:tcBorders>
            <w:shd w:val="clear" w:color="auto" w:fill="auto"/>
            <w:noWrap/>
          </w:tcPr>
          <w:p w14:paraId="2E6ECFAE" w14:textId="34CA5FCE" w:rsidR="00215EB7" w:rsidRPr="00192227" w:rsidRDefault="00215EB7" w:rsidP="00215EB7">
            <w:pPr>
              <w:rPr>
                <w:rFonts w:asciiTheme="minorHAnsi" w:eastAsia="Times New Roman" w:hAnsiTheme="minorHAnsi"/>
                <w:color w:val="000000"/>
              </w:rPr>
            </w:pPr>
            <w:r w:rsidRPr="00192227">
              <w:rPr>
                <w:rFonts w:asciiTheme="minorHAnsi" w:hAnsiTheme="minorHAnsi"/>
              </w:rPr>
              <w:t xml:space="preserve">SAE Labor Exchange </w:t>
            </w:r>
          </w:p>
        </w:tc>
        <w:tc>
          <w:tcPr>
            <w:tcW w:w="1530" w:type="dxa"/>
            <w:tcBorders>
              <w:top w:val="nil"/>
              <w:left w:val="nil"/>
              <w:bottom w:val="nil"/>
              <w:right w:val="nil"/>
            </w:tcBorders>
            <w:shd w:val="clear" w:color="auto" w:fill="auto"/>
            <w:noWrap/>
          </w:tcPr>
          <w:p w14:paraId="6C220D3E" w14:textId="7517F99D" w:rsidR="00215EB7" w:rsidRPr="00192227" w:rsidRDefault="00215EB7" w:rsidP="00215EB7">
            <w:pPr>
              <w:jc w:val="center"/>
              <w:rPr>
                <w:rFonts w:asciiTheme="minorHAnsi" w:hAnsiTheme="minorHAnsi"/>
              </w:rPr>
            </w:pPr>
            <w:r w:rsidRPr="00215EB7">
              <w:rPr>
                <w:rFonts w:asciiTheme="minorHAnsi" w:hAnsiTheme="minorHAnsi"/>
              </w:rPr>
              <w:t>$3,279</w:t>
            </w:r>
          </w:p>
        </w:tc>
        <w:tc>
          <w:tcPr>
            <w:tcW w:w="1710" w:type="dxa"/>
            <w:tcBorders>
              <w:top w:val="nil"/>
              <w:left w:val="nil"/>
              <w:bottom w:val="nil"/>
              <w:right w:val="nil"/>
            </w:tcBorders>
          </w:tcPr>
          <w:p w14:paraId="7162E4DA" w14:textId="13E8BE20" w:rsidR="00215EB7" w:rsidRPr="00215EB7" w:rsidRDefault="00215EB7" w:rsidP="00215EB7">
            <w:pPr>
              <w:jc w:val="center"/>
              <w:rPr>
                <w:rFonts w:asciiTheme="minorHAnsi" w:hAnsiTheme="minorHAnsi"/>
              </w:rPr>
            </w:pPr>
            <w:r w:rsidRPr="00215EB7">
              <w:rPr>
                <w:rFonts w:asciiTheme="minorHAnsi" w:hAnsiTheme="minorHAnsi"/>
              </w:rPr>
              <w:t>6.4%</w:t>
            </w:r>
          </w:p>
        </w:tc>
        <w:tc>
          <w:tcPr>
            <w:tcW w:w="2520" w:type="dxa"/>
            <w:tcBorders>
              <w:top w:val="nil"/>
              <w:left w:val="nil"/>
              <w:bottom w:val="nil"/>
              <w:right w:val="nil"/>
            </w:tcBorders>
          </w:tcPr>
          <w:p w14:paraId="79F27D99" w14:textId="44D27F61" w:rsidR="00215EB7" w:rsidRPr="00215EB7" w:rsidRDefault="00215EB7" w:rsidP="00215EB7">
            <w:pPr>
              <w:jc w:val="center"/>
              <w:rPr>
                <w:rFonts w:asciiTheme="minorHAnsi" w:hAnsiTheme="minorHAnsi"/>
              </w:rPr>
            </w:pPr>
            <w:r w:rsidRPr="00215EB7">
              <w:rPr>
                <w:rFonts w:asciiTheme="minorHAnsi" w:hAnsiTheme="minorHAnsi"/>
              </w:rPr>
              <w:t>$28,655,879</w:t>
            </w:r>
          </w:p>
        </w:tc>
      </w:tr>
      <w:tr w:rsidR="00215EB7" w:rsidRPr="00192227" w14:paraId="1C7A0E1B" w14:textId="77777777" w:rsidTr="00004E43">
        <w:trPr>
          <w:trHeight w:val="320"/>
        </w:trPr>
        <w:tc>
          <w:tcPr>
            <w:tcW w:w="3876" w:type="dxa"/>
            <w:tcBorders>
              <w:top w:val="nil"/>
              <w:left w:val="nil"/>
              <w:bottom w:val="nil"/>
              <w:right w:val="nil"/>
            </w:tcBorders>
            <w:shd w:val="clear" w:color="auto" w:fill="auto"/>
            <w:noWrap/>
            <w:hideMark/>
          </w:tcPr>
          <w:p w14:paraId="2681F1A9" w14:textId="562A91E1" w:rsidR="00215EB7" w:rsidRPr="00192227" w:rsidRDefault="00215EB7" w:rsidP="00215EB7">
            <w:pPr>
              <w:rPr>
                <w:rFonts w:asciiTheme="minorHAnsi" w:eastAsia="Times New Roman" w:hAnsiTheme="minorHAnsi"/>
                <w:color w:val="000000"/>
              </w:rPr>
            </w:pPr>
            <w:r w:rsidRPr="00192227">
              <w:rPr>
                <w:rFonts w:asciiTheme="minorHAnsi" w:hAnsiTheme="minorHAnsi"/>
              </w:rPr>
              <w:t>Cash/Market Sale</w:t>
            </w:r>
          </w:p>
        </w:tc>
        <w:tc>
          <w:tcPr>
            <w:tcW w:w="1530" w:type="dxa"/>
            <w:tcBorders>
              <w:top w:val="nil"/>
              <w:left w:val="nil"/>
              <w:bottom w:val="nil"/>
              <w:right w:val="nil"/>
            </w:tcBorders>
            <w:shd w:val="clear" w:color="auto" w:fill="auto"/>
            <w:noWrap/>
            <w:hideMark/>
          </w:tcPr>
          <w:p w14:paraId="62209524" w14:textId="4C434AF6" w:rsidR="00215EB7" w:rsidRPr="00215EB7" w:rsidRDefault="00215EB7" w:rsidP="00215EB7">
            <w:pPr>
              <w:jc w:val="center"/>
              <w:rPr>
                <w:rFonts w:asciiTheme="minorHAnsi" w:hAnsiTheme="minorHAnsi"/>
              </w:rPr>
            </w:pPr>
            <w:r w:rsidRPr="00215EB7">
              <w:rPr>
                <w:rFonts w:asciiTheme="minorHAnsi" w:hAnsiTheme="minorHAnsi"/>
              </w:rPr>
              <w:t>$18,158</w:t>
            </w:r>
          </w:p>
        </w:tc>
        <w:tc>
          <w:tcPr>
            <w:tcW w:w="1710" w:type="dxa"/>
            <w:tcBorders>
              <w:top w:val="nil"/>
              <w:left w:val="nil"/>
              <w:bottom w:val="nil"/>
              <w:right w:val="nil"/>
            </w:tcBorders>
          </w:tcPr>
          <w:p w14:paraId="207661F6" w14:textId="1B80999B" w:rsidR="00215EB7" w:rsidRPr="00215EB7" w:rsidRDefault="00215EB7" w:rsidP="00215EB7">
            <w:pPr>
              <w:jc w:val="center"/>
              <w:rPr>
                <w:rFonts w:asciiTheme="minorHAnsi" w:hAnsiTheme="minorHAnsi"/>
              </w:rPr>
            </w:pPr>
            <w:r w:rsidRPr="00215EB7">
              <w:rPr>
                <w:rFonts w:asciiTheme="minorHAnsi" w:hAnsiTheme="minorHAnsi"/>
              </w:rPr>
              <w:t>35.4%</w:t>
            </w:r>
          </w:p>
        </w:tc>
        <w:tc>
          <w:tcPr>
            <w:tcW w:w="2520" w:type="dxa"/>
            <w:tcBorders>
              <w:top w:val="nil"/>
              <w:left w:val="nil"/>
              <w:bottom w:val="nil"/>
              <w:right w:val="nil"/>
            </w:tcBorders>
          </w:tcPr>
          <w:p w14:paraId="12A4502F" w14:textId="7F91E550" w:rsidR="00215EB7" w:rsidRPr="00215EB7" w:rsidRDefault="00215EB7" w:rsidP="00215EB7">
            <w:pPr>
              <w:jc w:val="center"/>
              <w:rPr>
                <w:rFonts w:asciiTheme="minorHAnsi" w:hAnsiTheme="minorHAnsi"/>
              </w:rPr>
            </w:pPr>
            <w:r w:rsidRPr="00215EB7">
              <w:rPr>
                <w:rFonts w:asciiTheme="minorHAnsi" w:hAnsiTheme="minorHAnsi"/>
              </w:rPr>
              <w:t>$158,682,023</w:t>
            </w:r>
          </w:p>
        </w:tc>
      </w:tr>
      <w:tr w:rsidR="00215EB7" w:rsidRPr="00192227" w14:paraId="5342478F" w14:textId="77777777" w:rsidTr="00004E43">
        <w:trPr>
          <w:trHeight w:val="320"/>
        </w:trPr>
        <w:tc>
          <w:tcPr>
            <w:tcW w:w="3876" w:type="dxa"/>
            <w:tcBorders>
              <w:top w:val="nil"/>
              <w:left w:val="nil"/>
              <w:bottom w:val="nil"/>
              <w:right w:val="nil"/>
            </w:tcBorders>
            <w:shd w:val="clear" w:color="auto" w:fill="auto"/>
            <w:noWrap/>
            <w:hideMark/>
          </w:tcPr>
          <w:p w14:paraId="117BEFBD" w14:textId="2AF7E3D0" w:rsidR="00215EB7" w:rsidRPr="00192227" w:rsidRDefault="00215EB7" w:rsidP="00215EB7">
            <w:pPr>
              <w:rPr>
                <w:rFonts w:asciiTheme="minorHAnsi" w:eastAsia="Times New Roman" w:hAnsiTheme="minorHAnsi"/>
                <w:color w:val="000000"/>
              </w:rPr>
            </w:pPr>
            <w:r w:rsidRPr="00192227">
              <w:rPr>
                <w:rFonts w:asciiTheme="minorHAnsi" w:hAnsiTheme="minorHAnsi"/>
              </w:rPr>
              <w:t>Stock Show Sale</w:t>
            </w:r>
          </w:p>
        </w:tc>
        <w:tc>
          <w:tcPr>
            <w:tcW w:w="1530" w:type="dxa"/>
            <w:tcBorders>
              <w:top w:val="nil"/>
              <w:left w:val="nil"/>
              <w:bottom w:val="nil"/>
              <w:right w:val="nil"/>
            </w:tcBorders>
            <w:shd w:val="clear" w:color="auto" w:fill="auto"/>
            <w:noWrap/>
            <w:hideMark/>
          </w:tcPr>
          <w:p w14:paraId="5AA8D58A" w14:textId="1FFC4C7E" w:rsidR="00215EB7" w:rsidRPr="00215EB7" w:rsidRDefault="00215EB7" w:rsidP="00215EB7">
            <w:pPr>
              <w:jc w:val="center"/>
              <w:rPr>
                <w:rFonts w:asciiTheme="minorHAnsi" w:hAnsiTheme="minorHAnsi"/>
              </w:rPr>
            </w:pPr>
            <w:r w:rsidRPr="00215EB7">
              <w:rPr>
                <w:rFonts w:asciiTheme="minorHAnsi" w:hAnsiTheme="minorHAnsi"/>
              </w:rPr>
              <w:t>$4,761</w:t>
            </w:r>
          </w:p>
        </w:tc>
        <w:tc>
          <w:tcPr>
            <w:tcW w:w="1710" w:type="dxa"/>
            <w:tcBorders>
              <w:top w:val="nil"/>
              <w:left w:val="nil"/>
              <w:bottom w:val="nil"/>
              <w:right w:val="nil"/>
            </w:tcBorders>
          </w:tcPr>
          <w:p w14:paraId="1E5C0CBF" w14:textId="48BA00D4" w:rsidR="00215EB7" w:rsidRPr="00215EB7" w:rsidRDefault="00215EB7" w:rsidP="00215EB7">
            <w:pPr>
              <w:jc w:val="center"/>
              <w:rPr>
                <w:rFonts w:asciiTheme="minorHAnsi" w:hAnsiTheme="minorHAnsi"/>
              </w:rPr>
            </w:pPr>
            <w:r w:rsidRPr="00215EB7">
              <w:rPr>
                <w:rFonts w:asciiTheme="minorHAnsi" w:hAnsiTheme="minorHAnsi"/>
              </w:rPr>
              <w:t>9.3%</w:t>
            </w:r>
          </w:p>
        </w:tc>
        <w:tc>
          <w:tcPr>
            <w:tcW w:w="2520" w:type="dxa"/>
            <w:tcBorders>
              <w:top w:val="nil"/>
              <w:left w:val="nil"/>
              <w:bottom w:val="nil"/>
              <w:right w:val="nil"/>
            </w:tcBorders>
          </w:tcPr>
          <w:p w14:paraId="0488C6E3" w14:textId="07AFD46A" w:rsidR="00215EB7" w:rsidRPr="00215EB7" w:rsidRDefault="00215EB7" w:rsidP="00215EB7">
            <w:pPr>
              <w:jc w:val="center"/>
              <w:rPr>
                <w:rFonts w:asciiTheme="minorHAnsi" w:hAnsiTheme="minorHAnsi"/>
              </w:rPr>
            </w:pPr>
            <w:r w:rsidRPr="00215EB7">
              <w:rPr>
                <w:rFonts w:asciiTheme="minorHAnsi" w:hAnsiTheme="minorHAnsi"/>
              </w:rPr>
              <w:t>$41,610,701</w:t>
            </w:r>
          </w:p>
        </w:tc>
      </w:tr>
      <w:tr w:rsidR="00215EB7" w:rsidRPr="00192227" w14:paraId="5D0A402E" w14:textId="77777777" w:rsidTr="00004E43">
        <w:trPr>
          <w:trHeight w:val="320"/>
        </w:trPr>
        <w:tc>
          <w:tcPr>
            <w:tcW w:w="3876" w:type="dxa"/>
            <w:tcBorders>
              <w:top w:val="nil"/>
              <w:left w:val="nil"/>
              <w:bottom w:val="nil"/>
              <w:right w:val="nil"/>
            </w:tcBorders>
            <w:shd w:val="clear" w:color="auto" w:fill="auto"/>
            <w:noWrap/>
            <w:hideMark/>
          </w:tcPr>
          <w:p w14:paraId="30C022E7" w14:textId="1F668936" w:rsidR="00215EB7" w:rsidRPr="00192227" w:rsidRDefault="00215EB7" w:rsidP="00215EB7">
            <w:pPr>
              <w:rPr>
                <w:rFonts w:asciiTheme="minorHAnsi" w:eastAsia="Times New Roman" w:hAnsiTheme="minorHAnsi"/>
                <w:color w:val="000000"/>
              </w:rPr>
            </w:pPr>
            <w:r w:rsidRPr="00192227">
              <w:rPr>
                <w:rFonts w:asciiTheme="minorHAnsi" w:hAnsiTheme="minorHAnsi"/>
              </w:rPr>
              <w:t>Award/Scholarship/Premium</w:t>
            </w:r>
          </w:p>
        </w:tc>
        <w:tc>
          <w:tcPr>
            <w:tcW w:w="1530" w:type="dxa"/>
            <w:tcBorders>
              <w:top w:val="nil"/>
              <w:left w:val="nil"/>
              <w:bottom w:val="nil"/>
              <w:right w:val="nil"/>
            </w:tcBorders>
            <w:shd w:val="clear" w:color="auto" w:fill="auto"/>
            <w:noWrap/>
            <w:hideMark/>
          </w:tcPr>
          <w:p w14:paraId="5607BC40" w14:textId="3B45D165" w:rsidR="00215EB7" w:rsidRPr="00215EB7" w:rsidRDefault="00215EB7" w:rsidP="00215EB7">
            <w:pPr>
              <w:jc w:val="center"/>
              <w:rPr>
                <w:rFonts w:asciiTheme="minorHAnsi" w:hAnsiTheme="minorHAnsi"/>
              </w:rPr>
            </w:pPr>
            <w:r w:rsidRPr="00215EB7">
              <w:rPr>
                <w:rFonts w:asciiTheme="minorHAnsi" w:hAnsiTheme="minorHAnsi"/>
              </w:rPr>
              <w:t>$1,486</w:t>
            </w:r>
          </w:p>
        </w:tc>
        <w:tc>
          <w:tcPr>
            <w:tcW w:w="1710" w:type="dxa"/>
            <w:tcBorders>
              <w:top w:val="nil"/>
              <w:left w:val="nil"/>
              <w:bottom w:val="nil"/>
              <w:right w:val="nil"/>
            </w:tcBorders>
          </w:tcPr>
          <w:p w14:paraId="5F3B2F61" w14:textId="20AACD90" w:rsidR="00215EB7" w:rsidRPr="00215EB7" w:rsidRDefault="00215EB7" w:rsidP="00215EB7">
            <w:pPr>
              <w:jc w:val="center"/>
              <w:rPr>
                <w:rFonts w:asciiTheme="minorHAnsi" w:hAnsiTheme="minorHAnsi"/>
              </w:rPr>
            </w:pPr>
            <w:r w:rsidRPr="00215EB7">
              <w:rPr>
                <w:rFonts w:asciiTheme="minorHAnsi" w:hAnsiTheme="minorHAnsi"/>
              </w:rPr>
              <w:t>2.9%</w:t>
            </w:r>
          </w:p>
        </w:tc>
        <w:tc>
          <w:tcPr>
            <w:tcW w:w="2520" w:type="dxa"/>
            <w:tcBorders>
              <w:top w:val="nil"/>
              <w:left w:val="nil"/>
              <w:bottom w:val="nil"/>
              <w:right w:val="nil"/>
            </w:tcBorders>
          </w:tcPr>
          <w:p w14:paraId="2C60D1AF" w14:textId="3F40DB32" w:rsidR="00215EB7" w:rsidRPr="00215EB7" w:rsidRDefault="00215EB7" w:rsidP="00215EB7">
            <w:pPr>
              <w:jc w:val="center"/>
              <w:rPr>
                <w:rFonts w:asciiTheme="minorHAnsi" w:hAnsiTheme="minorHAnsi"/>
              </w:rPr>
            </w:pPr>
            <w:r w:rsidRPr="00215EB7">
              <w:rPr>
                <w:rFonts w:asciiTheme="minorHAnsi" w:hAnsiTheme="minorHAnsi"/>
              </w:rPr>
              <w:t>$12,982,390</w:t>
            </w:r>
          </w:p>
        </w:tc>
      </w:tr>
      <w:tr w:rsidR="00215EB7" w:rsidRPr="00192227" w14:paraId="411DE371" w14:textId="77777777" w:rsidTr="00004E43">
        <w:trPr>
          <w:trHeight w:val="320"/>
        </w:trPr>
        <w:tc>
          <w:tcPr>
            <w:tcW w:w="3876" w:type="dxa"/>
            <w:tcBorders>
              <w:top w:val="nil"/>
              <w:left w:val="nil"/>
              <w:bottom w:val="nil"/>
              <w:right w:val="nil"/>
            </w:tcBorders>
            <w:shd w:val="clear" w:color="auto" w:fill="auto"/>
            <w:noWrap/>
          </w:tcPr>
          <w:p w14:paraId="3F012774" w14:textId="1DCD9EB3" w:rsidR="00215EB7" w:rsidRPr="00192227" w:rsidRDefault="00215EB7" w:rsidP="00215EB7">
            <w:pPr>
              <w:rPr>
                <w:rFonts w:asciiTheme="minorHAnsi" w:eastAsia="Times New Roman" w:hAnsiTheme="minorHAnsi"/>
                <w:color w:val="000000"/>
              </w:rPr>
            </w:pPr>
            <w:r w:rsidRPr="00192227">
              <w:rPr>
                <w:rFonts w:asciiTheme="minorHAnsi" w:hAnsiTheme="minorHAnsi"/>
              </w:rPr>
              <w:t>Research Funding</w:t>
            </w:r>
          </w:p>
        </w:tc>
        <w:tc>
          <w:tcPr>
            <w:tcW w:w="1530" w:type="dxa"/>
            <w:tcBorders>
              <w:top w:val="nil"/>
              <w:left w:val="nil"/>
              <w:bottom w:val="nil"/>
              <w:right w:val="nil"/>
            </w:tcBorders>
            <w:shd w:val="clear" w:color="auto" w:fill="auto"/>
            <w:noWrap/>
          </w:tcPr>
          <w:p w14:paraId="2A535FF0" w14:textId="212228F3" w:rsidR="00215EB7" w:rsidRPr="00215EB7" w:rsidRDefault="00215EB7" w:rsidP="00215EB7">
            <w:pPr>
              <w:jc w:val="center"/>
              <w:rPr>
                <w:rFonts w:asciiTheme="minorHAnsi" w:hAnsiTheme="minorHAnsi"/>
              </w:rPr>
            </w:pPr>
            <w:r w:rsidRPr="00215EB7">
              <w:rPr>
                <w:rFonts w:asciiTheme="minorHAnsi" w:hAnsiTheme="minorHAnsi"/>
              </w:rPr>
              <w:t>$124</w:t>
            </w:r>
          </w:p>
        </w:tc>
        <w:tc>
          <w:tcPr>
            <w:tcW w:w="1710" w:type="dxa"/>
            <w:tcBorders>
              <w:top w:val="nil"/>
              <w:left w:val="nil"/>
              <w:bottom w:val="nil"/>
              <w:right w:val="nil"/>
            </w:tcBorders>
          </w:tcPr>
          <w:p w14:paraId="5B944903" w14:textId="29926B02" w:rsidR="00215EB7" w:rsidRPr="00215EB7" w:rsidRDefault="00215EB7" w:rsidP="00215EB7">
            <w:pPr>
              <w:jc w:val="center"/>
              <w:rPr>
                <w:rFonts w:asciiTheme="minorHAnsi" w:hAnsiTheme="minorHAnsi"/>
              </w:rPr>
            </w:pPr>
            <w:r w:rsidRPr="00215EB7">
              <w:rPr>
                <w:rFonts w:asciiTheme="minorHAnsi" w:hAnsiTheme="minorHAnsi"/>
              </w:rPr>
              <w:t>0.2%</w:t>
            </w:r>
          </w:p>
        </w:tc>
        <w:tc>
          <w:tcPr>
            <w:tcW w:w="2520" w:type="dxa"/>
            <w:tcBorders>
              <w:top w:val="nil"/>
              <w:left w:val="nil"/>
              <w:bottom w:val="nil"/>
              <w:right w:val="nil"/>
            </w:tcBorders>
          </w:tcPr>
          <w:p w14:paraId="62C1D539" w14:textId="7254B66F" w:rsidR="00215EB7" w:rsidRPr="00215EB7" w:rsidRDefault="00215EB7" w:rsidP="00215EB7">
            <w:pPr>
              <w:jc w:val="center"/>
              <w:rPr>
                <w:rFonts w:asciiTheme="minorHAnsi" w:hAnsiTheme="minorHAnsi"/>
              </w:rPr>
            </w:pPr>
            <w:r w:rsidRPr="00215EB7">
              <w:rPr>
                <w:rFonts w:asciiTheme="minorHAnsi" w:hAnsiTheme="minorHAnsi"/>
              </w:rPr>
              <w:t>$1,085,515</w:t>
            </w:r>
          </w:p>
        </w:tc>
      </w:tr>
      <w:tr w:rsidR="00215EB7" w:rsidRPr="00192227" w14:paraId="75C17043" w14:textId="77777777" w:rsidTr="00004E43">
        <w:trPr>
          <w:trHeight w:val="320"/>
        </w:trPr>
        <w:tc>
          <w:tcPr>
            <w:tcW w:w="3876" w:type="dxa"/>
            <w:tcBorders>
              <w:top w:val="nil"/>
              <w:left w:val="nil"/>
              <w:bottom w:val="nil"/>
              <w:right w:val="nil"/>
            </w:tcBorders>
            <w:shd w:val="clear" w:color="auto" w:fill="auto"/>
            <w:noWrap/>
            <w:hideMark/>
          </w:tcPr>
          <w:p w14:paraId="6D4D13C1" w14:textId="702897FC" w:rsidR="00215EB7" w:rsidRPr="00192227" w:rsidRDefault="00215EB7" w:rsidP="00215EB7">
            <w:pPr>
              <w:rPr>
                <w:rFonts w:asciiTheme="minorHAnsi" w:eastAsia="Times New Roman" w:hAnsiTheme="minorHAnsi"/>
                <w:color w:val="000000"/>
              </w:rPr>
            </w:pPr>
            <w:r w:rsidRPr="00192227">
              <w:rPr>
                <w:rFonts w:asciiTheme="minorHAnsi" w:hAnsiTheme="minorHAnsi"/>
              </w:rPr>
              <w:t>Used at Home</w:t>
            </w:r>
          </w:p>
        </w:tc>
        <w:tc>
          <w:tcPr>
            <w:tcW w:w="1530" w:type="dxa"/>
            <w:tcBorders>
              <w:top w:val="nil"/>
              <w:left w:val="nil"/>
              <w:bottom w:val="nil"/>
              <w:right w:val="nil"/>
            </w:tcBorders>
            <w:shd w:val="clear" w:color="auto" w:fill="auto"/>
            <w:noWrap/>
            <w:hideMark/>
          </w:tcPr>
          <w:p w14:paraId="40FBB44C" w14:textId="5C12BE7B" w:rsidR="00215EB7" w:rsidRPr="00215EB7" w:rsidRDefault="00215EB7" w:rsidP="00215EB7">
            <w:pPr>
              <w:jc w:val="center"/>
              <w:rPr>
                <w:rFonts w:asciiTheme="minorHAnsi" w:hAnsiTheme="minorHAnsi"/>
              </w:rPr>
            </w:pPr>
            <w:r w:rsidRPr="00215EB7">
              <w:rPr>
                <w:rFonts w:asciiTheme="minorHAnsi" w:hAnsiTheme="minorHAnsi"/>
              </w:rPr>
              <w:t>$213</w:t>
            </w:r>
          </w:p>
        </w:tc>
        <w:tc>
          <w:tcPr>
            <w:tcW w:w="1710" w:type="dxa"/>
            <w:tcBorders>
              <w:top w:val="nil"/>
              <w:left w:val="nil"/>
              <w:bottom w:val="nil"/>
              <w:right w:val="nil"/>
            </w:tcBorders>
          </w:tcPr>
          <w:p w14:paraId="10A5837D" w14:textId="466D4E6F" w:rsidR="00215EB7" w:rsidRPr="00215EB7" w:rsidRDefault="00215EB7" w:rsidP="00215EB7">
            <w:pPr>
              <w:jc w:val="center"/>
              <w:rPr>
                <w:rFonts w:asciiTheme="minorHAnsi" w:hAnsiTheme="minorHAnsi"/>
              </w:rPr>
            </w:pPr>
            <w:r w:rsidRPr="00215EB7">
              <w:rPr>
                <w:rFonts w:asciiTheme="minorHAnsi" w:hAnsiTheme="minorHAnsi"/>
              </w:rPr>
              <w:t>0.4%</w:t>
            </w:r>
          </w:p>
        </w:tc>
        <w:tc>
          <w:tcPr>
            <w:tcW w:w="2520" w:type="dxa"/>
            <w:tcBorders>
              <w:top w:val="nil"/>
              <w:left w:val="nil"/>
              <w:bottom w:val="nil"/>
              <w:right w:val="nil"/>
            </w:tcBorders>
          </w:tcPr>
          <w:p w14:paraId="038375F0" w14:textId="0615015F" w:rsidR="00215EB7" w:rsidRPr="00215EB7" w:rsidRDefault="00215EB7" w:rsidP="00215EB7">
            <w:pPr>
              <w:jc w:val="center"/>
              <w:rPr>
                <w:rFonts w:asciiTheme="minorHAnsi" w:hAnsiTheme="minorHAnsi"/>
              </w:rPr>
            </w:pPr>
            <w:r w:rsidRPr="00215EB7">
              <w:rPr>
                <w:rFonts w:asciiTheme="minorHAnsi" w:hAnsiTheme="minorHAnsi"/>
              </w:rPr>
              <w:t>$1,861,072</w:t>
            </w:r>
          </w:p>
        </w:tc>
      </w:tr>
      <w:tr w:rsidR="00215EB7" w:rsidRPr="00192227" w14:paraId="320D8D5D" w14:textId="77777777" w:rsidTr="00004E43">
        <w:trPr>
          <w:trHeight w:val="340"/>
        </w:trPr>
        <w:tc>
          <w:tcPr>
            <w:tcW w:w="3876" w:type="dxa"/>
            <w:tcBorders>
              <w:top w:val="nil"/>
              <w:left w:val="nil"/>
              <w:bottom w:val="single" w:sz="8" w:space="0" w:color="auto"/>
              <w:right w:val="nil"/>
            </w:tcBorders>
            <w:shd w:val="clear" w:color="auto" w:fill="auto"/>
            <w:noWrap/>
            <w:hideMark/>
          </w:tcPr>
          <w:p w14:paraId="18FCB719" w14:textId="33E094C7" w:rsidR="00215EB7" w:rsidRPr="00192227" w:rsidRDefault="00215EB7" w:rsidP="00215EB7">
            <w:pPr>
              <w:rPr>
                <w:rFonts w:asciiTheme="minorHAnsi" w:eastAsia="Times New Roman" w:hAnsiTheme="minorHAnsi"/>
                <w:color w:val="000000"/>
              </w:rPr>
            </w:pPr>
            <w:r w:rsidRPr="00192227">
              <w:rPr>
                <w:rFonts w:asciiTheme="minorHAnsi" w:hAnsiTheme="minorHAnsi"/>
              </w:rPr>
              <w:t>Rental Income</w:t>
            </w:r>
          </w:p>
        </w:tc>
        <w:tc>
          <w:tcPr>
            <w:tcW w:w="1530" w:type="dxa"/>
            <w:tcBorders>
              <w:top w:val="nil"/>
              <w:left w:val="nil"/>
              <w:bottom w:val="single" w:sz="8" w:space="0" w:color="auto"/>
              <w:right w:val="nil"/>
            </w:tcBorders>
            <w:shd w:val="clear" w:color="auto" w:fill="auto"/>
            <w:noWrap/>
            <w:hideMark/>
          </w:tcPr>
          <w:p w14:paraId="3208FE31" w14:textId="7EC08A1D" w:rsidR="00215EB7" w:rsidRPr="00215EB7" w:rsidRDefault="00215EB7" w:rsidP="00215EB7">
            <w:pPr>
              <w:jc w:val="center"/>
              <w:rPr>
                <w:rFonts w:asciiTheme="minorHAnsi" w:hAnsiTheme="minorHAnsi"/>
              </w:rPr>
            </w:pPr>
            <w:r w:rsidRPr="00215EB7">
              <w:rPr>
                <w:rFonts w:asciiTheme="minorHAnsi" w:hAnsiTheme="minorHAnsi"/>
              </w:rPr>
              <w:t>$3,065</w:t>
            </w:r>
          </w:p>
        </w:tc>
        <w:tc>
          <w:tcPr>
            <w:tcW w:w="1710" w:type="dxa"/>
            <w:tcBorders>
              <w:top w:val="nil"/>
              <w:left w:val="nil"/>
              <w:bottom w:val="single" w:sz="8" w:space="0" w:color="auto"/>
              <w:right w:val="nil"/>
            </w:tcBorders>
          </w:tcPr>
          <w:p w14:paraId="20032DDD" w14:textId="0C9F7AD0" w:rsidR="00215EB7" w:rsidRPr="00215EB7" w:rsidRDefault="00215EB7" w:rsidP="00215EB7">
            <w:pPr>
              <w:jc w:val="center"/>
              <w:rPr>
                <w:rFonts w:asciiTheme="minorHAnsi" w:hAnsiTheme="minorHAnsi"/>
              </w:rPr>
            </w:pPr>
            <w:r w:rsidRPr="00215EB7">
              <w:rPr>
                <w:rFonts w:asciiTheme="minorHAnsi" w:hAnsiTheme="minorHAnsi"/>
              </w:rPr>
              <w:t>6.0%</w:t>
            </w:r>
          </w:p>
        </w:tc>
        <w:tc>
          <w:tcPr>
            <w:tcW w:w="2520" w:type="dxa"/>
            <w:tcBorders>
              <w:top w:val="nil"/>
              <w:left w:val="nil"/>
              <w:bottom w:val="single" w:sz="8" w:space="0" w:color="auto"/>
              <w:right w:val="nil"/>
            </w:tcBorders>
          </w:tcPr>
          <w:p w14:paraId="4FCD48BF" w14:textId="2B6F26A4" w:rsidR="00215EB7" w:rsidRPr="00215EB7" w:rsidRDefault="00215EB7" w:rsidP="00215EB7">
            <w:pPr>
              <w:jc w:val="center"/>
              <w:rPr>
                <w:rFonts w:asciiTheme="minorHAnsi" w:hAnsiTheme="minorHAnsi"/>
              </w:rPr>
            </w:pPr>
            <w:r w:rsidRPr="00215EB7">
              <w:rPr>
                <w:rFonts w:asciiTheme="minorHAnsi" w:hAnsiTheme="minorHAnsi"/>
              </w:rPr>
              <w:t>$26,786,513</w:t>
            </w:r>
          </w:p>
        </w:tc>
      </w:tr>
      <w:tr w:rsidR="00215EB7" w:rsidRPr="00192227" w14:paraId="7CCA5A93" w14:textId="77777777" w:rsidTr="00004E43">
        <w:trPr>
          <w:trHeight w:val="340"/>
        </w:trPr>
        <w:tc>
          <w:tcPr>
            <w:tcW w:w="3876" w:type="dxa"/>
            <w:tcBorders>
              <w:top w:val="nil"/>
              <w:left w:val="nil"/>
              <w:bottom w:val="single" w:sz="8" w:space="0" w:color="auto"/>
              <w:right w:val="nil"/>
            </w:tcBorders>
            <w:shd w:val="clear" w:color="auto" w:fill="auto"/>
            <w:noWrap/>
            <w:vAlign w:val="center"/>
            <w:hideMark/>
          </w:tcPr>
          <w:p w14:paraId="4CF4EB9F" w14:textId="54D39318" w:rsidR="00215EB7" w:rsidRPr="00192227" w:rsidRDefault="00215EB7" w:rsidP="00215EB7">
            <w:pPr>
              <w:jc w:val="right"/>
              <w:rPr>
                <w:rFonts w:asciiTheme="minorHAnsi" w:eastAsia="Times New Roman" w:hAnsiTheme="minorHAnsi"/>
                <w:color w:val="000000"/>
              </w:rPr>
            </w:pPr>
            <w:r w:rsidRPr="00192227">
              <w:rPr>
                <w:rFonts w:asciiTheme="minorHAnsi" w:eastAsia="Times New Roman" w:hAnsiTheme="minorHAnsi"/>
                <w:color w:val="000000"/>
              </w:rPr>
              <w:t>Total Value</w:t>
            </w:r>
          </w:p>
        </w:tc>
        <w:tc>
          <w:tcPr>
            <w:tcW w:w="1530" w:type="dxa"/>
            <w:tcBorders>
              <w:top w:val="nil"/>
              <w:left w:val="nil"/>
              <w:bottom w:val="single" w:sz="8" w:space="0" w:color="auto"/>
              <w:right w:val="nil"/>
            </w:tcBorders>
            <w:shd w:val="clear" w:color="auto" w:fill="auto"/>
            <w:noWrap/>
            <w:hideMark/>
          </w:tcPr>
          <w:p w14:paraId="6B000D7F" w14:textId="23ABA0F6" w:rsidR="00215EB7" w:rsidRPr="00215EB7" w:rsidRDefault="00215EB7" w:rsidP="00215EB7">
            <w:pPr>
              <w:jc w:val="center"/>
              <w:rPr>
                <w:rFonts w:asciiTheme="minorHAnsi" w:hAnsiTheme="minorHAnsi"/>
              </w:rPr>
            </w:pPr>
            <w:r w:rsidRPr="00215EB7">
              <w:rPr>
                <w:rFonts w:asciiTheme="minorHAnsi" w:hAnsiTheme="minorHAnsi"/>
              </w:rPr>
              <w:t>$51,228</w:t>
            </w:r>
          </w:p>
        </w:tc>
        <w:tc>
          <w:tcPr>
            <w:tcW w:w="1710" w:type="dxa"/>
            <w:tcBorders>
              <w:top w:val="nil"/>
              <w:left w:val="nil"/>
              <w:bottom w:val="single" w:sz="8" w:space="0" w:color="auto"/>
              <w:right w:val="nil"/>
            </w:tcBorders>
          </w:tcPr>
          <w:p w14:paraId="58D9667D" w14:textId="42585263" w:rsidR="00215EB7" w:rsidRPr="00215EB7" w:rsidRDefault="00215EB7" w:rsidP="00215EB7">
            <w:pPr>
              <w:jc w:val="center"/>
              <w:rPr>
                <w:rFonts w:asciiTheme="minorHAnsi" w:hAnsiTheme="minorHAnsi"/>
              </w:rPr>
            </w:pPr>
            <w:r w:rsidRPr="00215EB7">
              <w:rPr>
                <w:rFonts w:asciiTheme="minorHAnsi" w:hAnsiTheme="minorHAnsi"/>
              </w:rPr>
              <w:t>100%</w:t>
            </w:r>
          </w:p>
        </w:tc>
        <w:tc>
          <w:tcPr>
            <w:tcW w:w="2520" w:type="dxa"/>
            <w:tcBorders>
              <w:top w:val="nil"/>
              <w:left w:val="nil"/>
              <w:bottom w:val="single" w:sz="8" w:space="0" w:color="auto"/>
              <w:right w:val="nil"/>
            </w:tcBorders>
          </w:tcPr>
          <w:p w14:paraId="12D8F88F" w14:textId="0C164E7E" w:rsidR="00215EB7" w:rsidRPr="00215EB7" w:rsidRDefault="00215EB7" w:rsidP="00215EB7">
            <w:pPr>
              <w:jc w:val="center"/>
              <w:rPr>
                <w:rFonts w:asciiTheme="minorHAnsi" w:hAnsiTheme="minorHAnsi"/>
              </w:rPr>
            </w:pPr>
            <w:r w:rsidRPr="00215EB7">
              <w:rPr>
                <w:rFonts w:asciiTheme="minorHAnsi" w:hAnsiTheme="minorHAnsi"/>
              </w:rPr>
              <w:t>$447,681,853</w:t>
            </w:r>
          </w:p>
        </w:tc>
      </w:tr>
    </w:tbl>
    <w:p w14:paraId="205C89D7" w14:textId="1920AEB6" w:rsidR="003D7229" w:rsidRPr="00192227" w:rsidRDefault="003D7229" w:rsidP="00192227">
      <w:pPr>
        <w:rPr>
          <w:rFonts w:ascii="Baskerville Old Face" w:hAnsi="Baskerville Old Face" w:cstheme="minorBidi"/>
        </w:rPr>
      </w:pPr>
    </w:p>
    <w:p w14:paraId="71B1256B" w14:textId="341FD90C" w:rsidR="00215EB7" w:rsidRDefault="00995FBD" w:rsidP="00192227">
      <w:pPr>
        <w:pStyle w:val="BodyText"/>
        <w:spacing w:after="0"/>
        <w:rPr>
          <w:rFonts w:ascii="Baskerville Old Face" w:hAnsi="Baskerville Old Face"/>
          <w:color w:val="000000" w:themeColor="text1"/>
          <w:sz w:val="24"/>
          <w:szCs w:val="24"/>
        </w:rPr>
      </w:pPr>
      <w:r w:rsidRPr="00192227">
        <w:rPr>
          <w:rFonts w:ascii="Baskerville Old Face" w:hAnsi="Baskerville Old Face"/>
          <w:sz w:val="24"/>
          <w:szCs w:val="24"/>
        </w:rPr>
        <w:t xml:space="preserve">As </w:t>
      </w:r>
      <w:r w:rsidRPr="00192227">
        <w:rPr>
          <w:rFonts w:ascii="Baskerville Old Face" w:hAnsi="Baskerville Old Face"/>
          <w:color w:val="000000" w:themeColor="text1"/>
          <w:sz w:val="24"/>
          <w:szCs w:val="24"/>
        </w:rPr>
        <w:t xml:space="preserve">illustrated in Table </w:t>
      </w:r>
      <w:r w:rsidR="00215EB7">
        <w:rPr>
          <w:rFonts w:ascii="Baskerville Old Face" w:hAnsi="Baskerville Old Face"/>
          <w:color w:val="000000" w:themeColor="text1"/>
          <w:sz w:val="24"/>
          <w:szCs w:val="24"/>
        </w:rPr>
        <w:t>6</w:t>
      </w:r>
      <w:r w:rsidRPr="00192227">
        <w:rPr>
          <w:rFonts w:ascii="Baskerville Old Face" w:hAnsi="Baskerville Old Face"/>
          <w:color w:val="000000" w:themeColor="text1"/>
          <w:sz w:val="24"/>
          <w:szCs w:val="24"/>
        </w:rPr>
        <w:t>, an average program has students earning $</w:t>
      </w:r>
      <w:r w:rsidR="00215EB7">
        <w:rPr>
          <w:rFonts w:ascii="Baskerville Old Face" w:hAnsi="Baskerville Old Face"/>
          <w:color w:val="000000" w:themeColor="text1"/>
          <w:sz w:val="24"/>
          <w:szCs w:val="24"/>
        </w:rPr>
        <w:t>51,228 in financial income</w:t>
      </w:r>
      <w:r w:rsidRPr="00192227">
        <w:rPr>
          <w:rFonts w:ascii="Baskerville Old Face" w:hAnsi="Baskerville Old Face"/>
          <w:color w:val="000000" w:themeColor="text1"/>
          <w:sz w:val="24"/>
          <w:szCs w:val="24"/>
        </w:rPr>
        <w:t xml:space="preserve">.  In total, it is estimated students </w:t>
      </w:r>
      <w:r w:rsidR="00BA67A2" w:rsidRPr="00192227">
        <w:rPr>
          <w:rFonts w:ascii="Baskerville Old Face" w:hAnsi="Baskerville Old Face"/>
          <w:color w:val="000000" w:themeColor="text1"/>
          <w:sz w:val="24"/>
          <w:szCs w:val="24"/>
        </w:rPr>
        <w:t>earn</w:t>
      </w:r>
      <w:r w:rsidRPr="00192227">
        <w:rPr>
          <w:rFonts w:ascii="Baskerville Old Face" w:hAnsi="Baskerville Old Face"/>
          <w:color w:val="000000" w:themeColor="text1"/>
          <w:sz w:val="24"/>
          <w:szCs w:val="24"/>
        </w:rPr>
        <w:t xml:space="preserve"> </w:t>
      </w:r>
      <w:r w:rsidR="00215EB7">
        <w:rPr>
          <w:rFonts w:ascii="Baskerville Old Face" w:hAnsi="Baskerville Old Face"/>
          <w:color w:val="000000" w:themeColor="text1"/>
          <w:sz w:val="24"/>
          <w:szCs w:val="24"/>
        </w:rPr>
        <w:t xml:space="preserve">over </w:t>
      </w:r>
      <w:r w:rsidRPr="00192227">
        <w:rPr>
          <w:rFonts w:ascii="Baskerville Old Face" w:hAnsi="Baskerville Old Face"/>
          <w:color w:val="000000" w:themeColor="text1"/>
          <w:sz w:val="24"/>
          <w:szCs w:val="24"/>
        </w:rPr>
        <w:t>$</w:t>
      </w:r>
      <w:r w:rsidR="00215EB7">
        <w:rPr>
          <w:rFonts w:ascii="Baskerville Old Face" w:hAnsi="Baskerville Old Face"/>
          <w:color w:val="000000" w:themeColor="text1"/>
          <w:sz w:val="24"/>
          <w:szCs w:val="24"/>
        </w:rPr>
        <w:t>447</w:t>
      </w:r>
      <w:r w:rsidRPr="00192227">
        <w:rPr>
          <w:rFonts w:ascii="Baskerville Old Face" w:hAnsi="Baskerville Old Face"/>
          <w:color w:val="000000" w:themeColor="text1"/>
          <w:sz w:val="24"/>
          <w:szCs w:val="24"/>
        </w:rPr>
        <w:t xml:space="preserve"> million through their SAE projects, which can assist them in other educational and career goals. </w:t>
      </w:r>
      <w:r w:rsidR="00215EB7">
        <w:rPr>
          <w:rFonts w:ascii="Baskerville Old Face" w:hAnsi="Baskerville Old Face"/>
          <w:color w:val="000000" w:themeColor="text1"/>
          <w:sz w:val="24"/>
          <w:szCs w:val="24"/>
        </w:rPr>
        <w:t>SAE projects included in this area are represented by paid work experiences (placement SAE paychecks), self-employment experiences (entrepreneurship SAE) through sales, awards and labor exchange and a smaller amount through research funding (research SAE).</w:t>
      </w:r>
    </w:p>
    <w:p w14:paraId="6C58D110" w14:textId="77777777" w:rsidR="00215EB7" w:rsidRDefault="00215EB7" w:rsidP="00192227">
      <w:pPr>
        <w:pStyle w:val="BodyText"/>
        <w:spacing w:after="0"/>
        <w:rPr>
          <w:rFonts w:ascii="Baskerville Old Face" w:hAnsi="Baskerville Old Face"/>
          <w:color w:val="000000" w:themeColor="text1"/>
          <w:sz w:val="24"/>
          <w:szCs w:val="24"/>
        </w:rPr>
      </w:pPr>
    </w:p>
    <w:p w14:paraId="3CD310F2" w14:textId="77777777" w:rsidR="00215EB7" w:rsidRDefault="00215EB7" w:rsidP="00192227">
      <w:pPr>
        <w:pStyle w:val="BodyText"/>
        <w:spacing w:after="0"/>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As students are able to earn income, these projects likely require financial investments such as required job supplies, research expenses and various agricultural common expense areas.  These investments are not only valuable to the student’s SAE, but create financial community, state and national economic impact values that drive economic growth and job creation.   </w:t>
      </w:r>
    </w:p>
    <w:p w14:paraId="3072F2D0" w14:textId="77777777" w:rsidR="00685D8F" w:rsidRDefault="00685D8F" w:rsidP="00192227">
      <w:pPr>
        <w:pStyle w:val="BodyText"/>
        <w:spacing w:after="0"/>
        <w:rPr>
          <w:rFonts w:ascii="Baskerville Old Face" w:hAnsi="Baskerville Old Face"/>
          <w:color w:val="000000" w:themeColor="text1"/>
          <w:sz w:val="24"/>
          <w:szCs w:val="24"/>
        </w:rPr>
      </w:pPr>
    </w:p>
    <w:p w14:paraId="4BB9D930" w14:textId="09075A9B" w:rsidR="004A541E" w:rsidRPr="00192227" w:rsidRDefault="00BA67A2" w:rsidP="00192227">
      <w:pPr>
        <w:pStyle w:val="BodyText"/>
        <w:spacing w:after="0"/>
        <w:rPr>
          <w:rFonts w:ascii="Baskerville Old Face" w:hAnsi="Baskerville Old Face"/>
          <w:color w:val="000000" w:themeColor="text1"/>
          <w:sz w:val="24"/>
          <w:szCs w:val="24"/>
        </w:rPr>
      </w:pPr>
      <w:r w:rsidRPr="00192227">
        <w:rPr>
          <w:rFonts w:ascii="Baskerville Old Face" w:hAnsi="Baskerville Old Face"/>
          <w:color w:val="000000" w:themeColor="text1"/>
          <w:sz w:val="24"/>
          <w:szCs w:val="24"/>
        </w:rPr>
        <w:lastRenderedPageBreak/>
        <w:t>A</w:t>
      </w:r>
      <w:r w:rsidR="004A541E" w:rsidRPr="00192227">
        <w:rPr>
          <w:rFonts w:ascii="Baskerville Old Face" w:hAnsi="Baskerville Old Face"/>
          <w:color w:val="000000" w:themeColor="text1"/>
          <w:sz w:val="24"/>
          <w:szCs w:val="24"/>
        </w:rPr>
        <w:t>n average program has students investing $</w:t>
      </w:r>
      <w:r w:rsidR="00215EB7">
        <w:rPr>
          <w:rFonts w:ascii="Baskerville Old Face" w:hAnsi="Baskerville Old Face"/>
          <w:color w:val="000000" w:themeColor="text1"/>
          <w:sz w:val="24"/>
          <w:szCs w:val="24"/>
        </w:rPr>
        <w:t>21</w:t>
      </w:r>
      <w:r w:rsidR="004A541E" w:rsidRPr="00192227">
        <w:rPr>
          <w:rFonts w:ascii="Baskerville Old Face" w:hAnsi="Baskerville Old Face"/>
          <w:color w:val="000000" w:themeColor="text1"/>
          <w:sz w:val="24"/>
          <w:szCs w:val="24"/>
        </w:rPr>
        <w:t>,</w:t>
      </w:r>
      <w:r w:rsidR="00685D8F">
        <w:rPr>
          <w:rFonts w:ascii="Baskerville Old Face" w:hAnsi="Baskerville Old Face"/>
          <w:color w:val="000000" w:themeColor="text1"/>
          <w:sz w:val="24"/>
          <w:szCs w:val="24"/>
        </w:rPr>
        <w:t>857</w:t>
      </w:r>
      <w:r w:rsidR="004A541E" w:rsidRPr="00192227">
        <w:rPr>
          <w:rFonts w:ascii="Baskerville Old Face" w:hAnsi="Baskerville Old Face"/>
          <w:color w:val="000000" w:themeColor="text1"/>
          <w:sz w:val="24"/>
          <w:szCs w:val="24"/>
        </w:rPr>
        <w:t xml:space="preserve"> in supporting their SAE projects</w:t>
      </w:r>
      <w:r w:rsidRPr="00192227">
        <w:rPr>
          <w:rFonts w:ascii="Baskerville Old Face" w:hAnsi="Baskerville Old Face"/>
          <w:color w:val="000000" w:themeColor="text1"/>
          <w:sz w:val="24"/>
          <w:szCs w:val="24"/>
        </w:rPr>
        <w:t>.</w:t>
      </w:r>
      <w:r w:rsidR="004A541E" w:rsidRPr="00192227">
        <w:rPr>
          <w:rFonts w:ascii="Baskerville Old Face" w:hAnsi="Baskerville Old Face"/>
          <w:color w:val="000000" w:themeColor="text1"/>
          <w:sz w:val="24"/>
          <w:szCs w:val="24"/>
        </w:rPr>
        <w:t xml:space="preserve"> </w:t>
      </w:r>
      <w:r w:rsidRPr="00192227">
        <w:rPr>
          <w:rFonts w:ascii="Baskerville Old Face" w:hAnsi="Baskerville Old Face"/>
          <w:color w:val="000000" w:themeColor="text1"/>
          <w:sz w:val="24"/>
          <w:szCs w:val="24"/>
        </w:rPr>
        <w:t xml:space="preserve">Nationally, </w:t>
      </w:r>
      <w:r w:rsidR="003C1197" w:rsidRPr="00192227">
        <w:rPr>
          <w:rFonts w:ascii="Baskerville Old Face" w:hAnsi="Baskerville Old Face"/>
          <w:color w:val="000000" w:themeColor="text1"/>
          <w:sz w:val="24"/>
          <w:szCs w:val="24"/>
        </w:rPr>
        <w:t xml:space="preserve">SAE spending </w:t>
      </w:r>
      <w:r w:rsidR="004A541E" w:rsidRPr="00192227">
        <w:rPr>
          <w:rFonts w:ascii="Baskerville Old Face" w:hAnsi="Baskerville Old Face"/>
          <w:color w:val="000000" w:themeColor="text1"/>
          <w:sz w:val="24"/>
          <w:szCs w:val="24"/>
        </w:rPr>
        <w:t>is estimated to be $</w:t>
      </w:r>
      <w:r w:rsidR="00685D8F">
        <w:rPr>
          <w:rFonts w:ascii="Baskerville Old Face" w:hAnsi="Baskerville Old Face"/>
          <w:color w:val="000000" w:themeColor="text1"/>
          <w:sz w:val="24"/>
          <w:szCs w:val="24"/>
        </w:rPr>
        <w:t xml:space="preserve">191 </w:t>
      </w:r>
      <w:r w:rsidR="004A541E" w:rsidRPr="00192227">
        <w:rPr>
          <w:rFonts w:ascii="Baskerville Old Face" w:hAnsi="Baskerville Old Face"/>
          <w:color w:val="000000" w:themeColor="text1"/>
          <w:sz w:val="24"/>
          <w:szCs w:val="24"/>
        </w:rPr>
        <w:t>million</w:t>
      </w:r>
      <w:r w:rsidR="00685D8F">
        <w:rPr>
          <w:rFonts w:ascii="Baskerville Old Face" w:hAnsi="Baskerville Old Face"/>
          <w:color w:val="000000" w:themeColor="text1"/>
          <w:sz w:val="24"/>
          <w:szCs w:val="24"/>
        </w:rPr>
        <w:t xml:space="preserve">, which supports local, state and national economies. </w:t>
      </w:r>
      <w:r w:rsidR="00AB5791">
        <w:rPr>
          <w:rFonts w:ascii="Baskerville Old Face" w:hAnsi="Baskerville Old Face"/>
          <w:color w:val="000000" w:themeColor="text1"/>
          <w:sz w:val="24"/>
          <w:szCs w:val="24"/>
        </w:rPr>
        <w:t xml:space="preserve"> </w:t>
      </w:r>
      <w:r w:rsidR="004A541E" w:rsidRPr="00192227">
        <w:rPr>
          <w:rFonts w:ascii="Baskerville Old Face" w:hAnsi="Baskerville Old Face"/>
          <w:color w:val="000000" w:themeColor="text1"/>
          <w:sz w:val="24"/>
          <w:szCs w:val="24"/>
        </w:rPr>
        <w:t>These investments are allocated across common SAE</w:t>
      </w:r>
      <w:r w:rsidR="003C1197" w:rsidRPr="00192227">
        <w:rPr>
          <w:rFonts w:ascii="Baskerville Old Face" w:hAnsi="Baskerville Old Face"/>
          <w:color w:val="000000" w:themeColor="text1"/>
          <w:sz w:val="24"/>
          <w:szCs w:val="24"/>
        </w:rPr>
        <w:t>-</w:t>
      </w:r>
      <w:r w:rsidR="004A541E" w:rsidRPr="00192227">
        <w:rPr>
          <w:rFonts w:ascii="Baskerville Old Face" w:hAnsi="Baskerville Old Face"/>
          <w:color w:val="000000" w:themeColor="text1"/>
          <w:sz w:val="24"/>
          <w:szCs w:val="24"/>
        </w:rPr>
        <w:t xml:space="preserve">related expenses, which are outlined in Table </w:t>
      </w:r>
      <w:r w:rsidR="00685D8F">
        <w:rPr>
          <w:rFonts w:ascii="Baskerville Old Face" w:hAnsi="Baskerville Old Face"/>
          <w:color w:val="000000" w:themeColor="text1"/>
          <w:sz w:val="24"/>
          <w:szCs w:val="24"/>
        </w:rPr>
        <w:t>7</w:t>
      </w:r>
      <w:r w:rsidR="004A541E" w:rsidRPr="00192227">
        <w:rPr>
          <w:rFonts w:ascii="Baskerville Old Face" w:hAnsi="Baskerville Old Face"/>
          <w:color w:val="000000" w:themeColor="text1"/>
          <w:sz w:val="24"/>
          <w:szCs w:val="24"/>
        </w:rPr>
        <w:t>.</w:t>
      </w:r>
    </w:p>
    <w:p w14:paraId="1E5200E9" w14:textId="77777777" w:rsidR="00126738" w:rsidRPr="00192227" w:rsidRDefault="00126738" w:rsidP="00192227">
      <w:pPr>
        <w:pStyle w:val="BodyText"/>
        <w:spacing w:after="0"/>
        <w:rPr>
          <w:rFonts w:ascii="Baskerville Old Face" w:hAnsi="Baskerville Old Face"/>
          <w:color w:val="000000" w:themeColor="text1"/>
          <w:sz w:val="24"/>
          <w:szCs w:val="24"/>
        </w:rPr>
      </w:pPr>
    </w:p>
    <w:p w14:paraId="7AF394FB" w14:textId="149332ED" w:rsidR="00C8593C" w:rsidRPr="00192227" w:rsidRDefault="005F5330" w:rsidP="00192227">
      <w:pPr>
        <w:pStyle w:val="BodyText"/>
        <w:spacing w:after="0"/>
        <w:rPr>
          <w:rFonts w:ascii="Baskerville Old Face" w:hAnsi="Baskerville Old Face"/>
          <w:sz w:val="24"/>
          <w:szCs w:val="24"/>
        </w:rPr>
      </w:pPr>
      <w:r w:rsidRPr="00192227">
        <w:rPr>
          <w:rFonts w:ascii="Baskerville Old Face" w:hAnsi="Baskerville Old Face"/>
          <w:sz w:val="24"/>
          <w:szCs w:val="24"/>
        </w:rPr>
        <w:t>T</w:t>
      </w:r>
      <w:r w:rsidR="00C12390" w:rsidRPr="00192227">
        <w:rPr>
          <w:rFonts w:ascii="Baskerville Old Face" w:hAnsi="Baskerville Old Face"/>
          <w:sz w:val="24"/>
          <w:szCs w:val="24"/>
        </w:rPr>
        <w:t xml:space="preserve">able </w:t>
      </w:r>
      <w:r w:rsidR="00685D8F">
        <w:rPr>
          <w:rFonts w:ascii="Baskerville Old Face" w:hAnsi="Baskerville Old Face"/>
          <w:sz w:val="24"/>
          <w:szCs w:val="24"/>
        </w:rPr>
        <w:t>7</w:t>
      </w:r>
      <w:r w:rsidR="00C12390" w:rsidRPr="00192227">
        <w:rPr>
          <w:rFonts w:ascii="Baskerville Old Face" w:hAnsi="Baskerville Old Face"/>
          <w:sz w:val="24"/>
          <w:szCs w:val="24"/>
        </w:rPr>
        <w:t xml:space="preserve"> </w:t>
      </w:r>
      <w:r w:rsidR="00C8593C" w:rsidRPr="00192227">
        <w:rPr>
          <w:rFonts w:ascii="Baskerville Old Face" w:hAnsi="Baskerville Old Face"/>
          <w:sz w:val="24"/>
          <w:szCs w:val="24"/>
        </w:rPr>
        <w:t>SAE Investment</w:t>
      </w:r>
      <w:r w:rsidR="00DB29EC" w:rsidRPr="00192227">
        <w:rPr>
          <w:rFonts w:ascii="Baskerville Old Face" w:hAnsi="Baskerville Old Face"/>
          <w:sz w:val="24"/>
          <w:szCs w:val="24"/>
        </w:rPr>
        <w:t>s in Operating Expenses (n=</w:t>
      </w:r>
      <w:r w:rsidR="00AC7272" w:rsidRPr="00192227">
        <w:rPr>
          <w:rFonts w:ascii="Baskerville Old Face" w:hAnsi="Baskerville Old Face"/>
          <w:sz w:val="24"/>
          <w:szCs w:val="24"/>
        </w:rPr>
        <w:t>4,</w:t>
      </w:r>
      <w:r w:rsidR="00685D8F">
        <w:rPr>
          <w:rFonts w:ascii="Baskerville Old Face" w:hAnsi="Baskerville Old Face"/>
          <w:sz w:val="24"/>
          <w:szCs w:val="24"/>
        </w:rPr>
        <w:t>432</w:t>
      </w:r>
      <w:r w:rsidR="00C8593C" w:rsidRPr="00192227">
        <w:rPr>
          <w:rFonts w:ascii="Baskerville Old Face" w:hAnsi="Baskerville Old Face"/>
          <w:sz w:val="24"/>
          <w:szCs w:val="24"/>
        </w:rPr>
        <w:t>)</w:t>
      </w:r>
    </w:p>
    <w:tbl>
      <w:tblPr>
        <w:tblW w:w="9702" w:type="dxa"/>
        <w:tblInd w:w="108" w:type="dxa"/>
        <w:tblLayout w:type="fixed"/>
        <w:tblLook w:val="04A0" w:firstRow="1" w:lastRow="0" w:firstColumn="1" w:lastColumn="0" w:noHBand="0" w:noVBand="1"/>
      </w:tblPr>
      <w:tblGrid>
        <w:gridCol w:w="3324"/>
        <w:gridCol w:w="2058"/>
        <w:gridCol w:w="2070"/>
        <w:gridCol w:w="2250"/>
      </w:tblGrid>
      <w:tr w:rsidR="004165C2" w:rsidRPr="00192227" w14:paraId="3CD6D080" w14:textId="77777777" w:rsidTr="00B706D0">
        <w:trPr>
          <w:trHeight w:val="660"/>
        </w:trPr>
        <w:tc>
          <w:tcPr>
            <w:tcW w:w="3324" w:type="dxa"/>
            <w:tcBorders>
              <w:top w:val="single" w:sz="4" w:space="0" w:color="auto"/>
              <w:left w:val="nil"/>
              <w:bottom w:val="single" w:sz="4" w:space="0" w:color="auto"/>
              <w:right w:val="nil"/>
            </w:tcBorders>
            <w:shd w:val="clear" w:color="auto" w:fill="auto"/>
            <w:vAlign w:val="center"/>
            <w:hideMark/>
          </w:tcPr>
          <w:p w14:paraId="52142EE3" w14:textId="45053DD4" w:rsidR="00F67C67" w:rsidRPr="00192227" w:rsidRDefault="00F67C67" w:rsidP="00192227">
            <w:pPr>
              <w:rPr>
                <w:rFonts w:asciiTheme="minorHAnsi" w:eastAsia="Times New Roman" w:hAnsiTheme="minorHAnsi"/>
                <w:color w:val="000000"/>
              </w:rPr>
            </w:pPr>
            <w:r w:rsidRPr="00192227">
              <w:rPr>
                <w:rFonts w:asciiTheme="minorHAnsi" w:eastAsia="Times New Roman" w:hAnsiTheme="minorHAnsi"/>
                <w:color w:val="000000"/>
              </w:rPr>
              <w:t>Area of Economic Investing</w:t>
            </w:r>
          </w:p>
        </w:tc>
        <w:tc>
          <w:tcPr>
            <w:tcW w:w="2058" w:type="dxa"/>
            <w:tcBorders>
              <w:top w:val="single" w:sz="4" w:space="0" w:color="auto"/>
              <w:left w:val="nil"/>
              <w:bottom w:val="single" w:sz="4" w:space="0" w:color="auto"/>
              <w:right w:val="nil"/>
            </w:tcBorders>
            <w:shd w:val="clear" w:color="auto" w:fill="auto"/>
            <w:vAlign w:val="center"/>
            <w:hideMark/>
          </w:tcPr>
          <w:p w14:paraId="1984B5F0" w14:textId="77777777" w:rsidR="00F67C67" w:rsidRPr="00192227" w:rsidRDefault="00F67C67" w:rsidP="00192227">
            <w:pPr>
              <w:jc w:val="right"/>
              <w:rPr>
                <w:rFonts w:asciiTheme="minorHAnsi" w:eastAsia="Times New Roman" w:hAnsiTheme="minorHAnsi"/>
                <w:color w:val="000000"/>
              </w:rPr>
            </w:pPr>
            <w:r w:rsidRPr="00192227">
              <w:rPr>
                <w:rFonts w:asciiTheme="minorHAnsi" w:eastAsia="Times New Roman" w:hAnsiTheme="minorHAnsi"/>
                <w:color w:val="000000"/>
              </w:rPr>
              <w:t>Average</w:t>
            </w:r>
          </w:p>
          <w:p w14:paraId="6B5789D0" w14:textId="13446EBD" w:rsidR="00F67C67" w:rsidRPr="00192227" w:rsidRDefault="00F67C67" w:rsidP="00192227">
            <w:pPr>
              <w:jc w:val="right"/>
              <w:rPr>
                <w:rFonts w:asciiTheme="minorHAnsi" w:eastAsia="Times New Roman" w:hAnsiTheme="minorHAnsi"/>
                <w:color w:val="000000"/>
              </w:rPr>
            </w:pPr>
            <w:r w:rsidRPr="00192227">
              <w:rPr>
                <w:rFonts w:asciiTheme="minorHAnsi" w:eastAsia="Times New Roman" w:hAnsiTheme="minorHAnsi"/>
                <w:color w:val="000000"/>
              </w:rPr>
              <w:t>(Per Program)</w:t>
            </w:r>
          </w:p>
        </w:tc>
        <w:tc>
          <w:tcPr>
            <w:tcW w:w="2070" w:type="dxa"/>
            <w:tcBorders>
              <w:top w:val="single" w:sz="4" w:space="0" w:color="auto"/>
              <w:left w:val="nil"/>
              <w:bottom w:val="single" w:sz="4" w:space="0" w:color="auto"/>
              <w:right w:val="nil"/>
            </w:tcBorders>
            <w:vAlign w:val="center"/>
          </w:tcPr>
          <w:p w14:paraId="779A6999" w14:textId="54654A08" w:rsidR="00F67C67" w:rsidRPr="00192227" w:rsidRDefault="00F67C67" w:rsidP="00192227">
            <w:pPr>
              <w:jc w:val="center"/>
              <w:rPr>
                <w:rFonts w:asciiTheme="minorHAnsi" w:eastAsia="Times New Roman" w:hAnsiTheme="minorHAnsi"/>
                <w:color w:val="000000"/>
              </w:rPr>
            </w:pPr>
            <w:r w:rsidRPr="00192227">
              <w:rPr>
                <w:rFonts w:asciiTheme="minorHAnsi" w:eastAsia="Times New Roman" w:hAnsiTheme="minorHAnsi"/>
                <w:color w:val="000000"/>
              </w:rPr>
              <w:t>%</w:t>
            </w:r>
          </w:p>
        </w:tc>
        <w:tc>
          <w:tcPr>
            <w:tcW w:w="2250" w:type="dxa"/>
            <w:tcBorders>
              <w:top w:val="single" w:sz="4" w:space="0" w:color="auto"/>
              <w:left w:val="nil"/>
              <w:bottom w:val="single" w:sz="4" w:space="0" w:color="auto"/>
              <w:right w:val="nil"/>
            </w:tcBorders>
            <w:vAlign w:val="center"/>
          </w:tcPr>
          <w:p w14:paraId="15B8003D" w14:textId="35C6BE75" w:rsidR="00F67C67" w:rsidRPr="00192227" w:rsidRDefault="003452DC" w:rsidP="00192227">
            <w:pPr>
              <w:jc w:val="right"/>
              <w:rPr>
                <w:rFonts w:asciiTheme="minorHAnsi" w:eastAsia="Times New Roman" w:hAnsiTheme="minorHAnsi"/>
                <w:color w:val="000000"/>
              </w:rPr>
            </w:pPr>
            <w:r w:rsidRPr="00192227">
              <w:rPr>
                <w:rFonts w:asciiTheme="minorHAnsi" w:eastAsia="Times New Roman" w:hAnsiTheme="minorHAnsi"/>
                <w:color w:val="000000"/>
              </w:rPr>
              <w:t xml:space="preserve">National Estimate </w:t>
            </w:r>
            <w:r w:rsidR="004165C2" w:rsidRPr="00192227">
              <w:rPr>
                <w:rFonts w:asciiTheme="minorHAnsi" w:eastAsia="Times New Roman" w:hAnsiTheme="minorHAnsi"/>
                <w:color w:val="000000"/>
              </w:rPr>
              <w:t>(</w:t>
            </w:r>
            <w:r w:rsidR="00C94D0D" w:rsidRPr="00192227">
              <w:rPr>
                <w:rFonts w:asciiTheme="minorHAnsi" w:eastAsia="Times New Roman" w:hAnsiTheme="minorHAnsi"/>
                <w:color w:val="000000"/>
              </w:rPr>
              <w:t>N=</w:t>
            </w:r>
            <w:r w:rsidR="00565105" w:rsidRPr="00192227">
              <w:rPr>
                <w:rFonts w:asciiTheme="minorHAnsi" w:eastAsia="Times New Roman" w:hAnsiTheme="minorHAnsi"/>
                <w:color w:val="000000"/>
              </w:rPr>
              <w:t>8,</w:t>
            </w:r>
            <w:r w:rsidR="00685D8F">
              <w:rPr>
                <w:rFonts w:asciiTheme="minorHAnsi" w:eastAsia="Times New Roman" w:hAnsiTheme="minorHAnsi"/>
                <w:color w:val="000000"/>
              </w:rPr>
              <w:t>739</w:t>
            </w:r>
            <w:r w:rsidRPr="00192227">
              <w:rPr>
                <w:rFonts w:asciiTheme="minorHAnsi" w:eastAsia="Times New Roman" w:hAnsiTheme="minorHAnsi"/>
                <w:color w:val="000000"/>
              </w:rPr>
              <w:t xml:space="preserve"> Programs)</w:t>
            </w:r>
          </w:p>
        </w:tc>
      </w:tr>
      <w:tr w:rsidR="00685D8F" w:rsidRPr="00192227" w14:paraId="5EB08A8B" w14:textId="77777777" w:rsidTr="00685D8F">
        <w:trPr>
          <w:trHeight w:val="288"/>
        </w:trPr>
        <w:tc>
          <w:tcPr>
            <w:tcW w:w="3324" w:type="dxa"/>
            <w:tcBorders>
              <w:top w:val="single" w:sz="4" w:space="0" w:color="auto"/>
              <w:left w:val="nil"/>
              <w:bottom w:val="nil"/>
              <w:right w:val="nil"/>
            </w:tcBorders>
            <w:shd w:val="clear" w:color="auto" w:fill="auto"/>
            <w:vAlign w:val="bottom"/>
            <w:hideMark/>
          </w:tcPr>
          <w:p w14:paraId="180992CC" w14:textId="571EAB53" w:rsidR="00685D8F" w:rsidRPr="00192227" w:rsidRDefault="00685D8F" w:rsidP="00685D8F">
            <w:pPr>
              <w:rPr>
                <w:rFonts w:asciiTheme="minorHAnsi" w:eastAsia="Times New Roman" w:hAnsiTheme="minorHAnsi"/>
                <w:color w:val="000000"/>
              </w:rPr>
            </w:pPr>
            <w:r w:rsidRPr="00192227">
              <w:rPr>
                <w:rFonts w:asciiTheme="minorHAnsi" w:eastAsia="Times New Roman" w:hAnsiTheme="minorHAnsi"/>
                <w:color w:val="000000"/>
              </w:rPr>
              <w:t>Inventory for Resale</w:t>
            </w:r>
          </w:p>
        </w:tc>
        <w:tc>
          <w:tcPr>
            <w:tcW w:w="2058" w:type="dxa"/>
            <w:tcBorders>
              <w:top w:val="single" w:sz="4" w:space="0" w:color="auto"/>
              <w:left w:val="nil"/>
              <w:bottom w:val="nil"/>
              <w:right w:val="nil"/>
            </w:tcBorders>
            <w:shd w:val="clear" w:color="auto" w:fill="auto"/>
            <w:hideMark/>
          </w:tcPr>
          <w:p w14:paraId="42515CD9" w14:textId="14051781"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 xml:space="preserve"> $6,890 </w:t>
            </w:r>
          </w:p>
        </w:tc>
        <w:tc>
          <w:tcPr>
            <w:tcW w:w="2070" w:type="dxa"/>
            <w:tcBorders>
              <w:top w:val="single" w:sz="4" w:space="0" w:color="auto"/>
              <w:left w:val="nil"/>
              <w:bottom w:val="nil"/>
              <w:right w:val="nil"/>
            </w:tcBorders>
          </w:tcPr>
          <w:p w14:paraId="0A4A24CE" w14:textId="5D4AEB38"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31.5%</w:t>
            </w:r>
          </w:p>
        </w:tc>
        <w:tc>
          <w:tcPr>
            <w:tcW w:w="2250" w:type="dxa"/>
            <w:tcBorders>
              <w:top w:val="single" w:sz="4" w:space="0" w:color="auto"/>
              <w:left w:val="nil"/>
              <w:bottom w:val="nil"/>
              <w:right w:val="nil"/>
            </w:tcBorders>
          </w:tcPr>
          <w:p w14:paraId="177602DF" w14:textId="0075C18A"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60,214,731</w:t>
            </w:r>
          </w:p>
        </w:tc>
      </w:tr>
      <w:tr w:rsidR="00685D8F" w:rsidRPr="00192227" w14:paraId="4F2D9B9A" w14:textId="77777777" w:rsidTr="00685D8F">
        <w:trPr>
          <w:trHeight w:val="63"/>
        </w:trPr>
        <w:tc>
          <w:tcPr>
            <w:tcW w:w="3324" w:type="dxa"/>
            <w:tcBorders>
              <w:top w:val="nil"/>
              <w:left w:val="nil"/>
              <w:bottom w:val="nil"/>
              <w:right w:val="nil"/>
            </w:tcBorders>
            <w:shd w:val="clear" w:color="auto" w:fill="auto"/>
            <w:vAlign w:val="center"/>
            <w:hideMark/>
          </w:tcPr>
          <w:p w14:paraId="35BFED2F" w14:textId="55326272" w:rsidR="00685D8F" w:rsidRPr="00192227" w:rsidRDefault="00685D8F" w:rsidP="00685D8F">
            <w:pPr>
              <w:rPr>
                <w:rFonts w:asciiTheme="minorHAnsi" w:eastAsia="Times New Roman" w:hAnsiTheme="minorHAnsi"/>
                <w:color w:val="000000"/>
              </w:rPr>
            </w:pPr>
            <w:r w:rsidRPr="00192227">
              <w:rPr>
                <w:rFonts w:asciiTheme="minorHAnsi" w:eastAsia="Times New Roman" w:hAnsiTheme="minorHAnsi"/>
                <w:color w:val="000000"/>
              </w:rPr>
              <w:t>Feed</w:t>
            </w:r>
          </w:p>
        </w:tc>
        <w:tc>
          <w:tcPr>
            <w:tcW w:w="2058" w:type="dxa"/>
            <w:tcBorders>
              <w:top w:val="nil"/>
              <w:left w:val="nil"/>
              <w:bottom w:val="nil"/>
              <w:right w:val="nil"/>
            </w:tcBorders>
            <w:shd w:val="clear" w:color="auto" w:fill="auto"/>
            <w:hideMark/>
          </w:tcPr>
          <w:p w14:paraId="1EFAF320" w14:textId="3517BE4B"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 xml:space="preserve"> $6,038 </w:t>
            </w:r>
          </w:p>
        </w:tc>
        <w:tc>
          <w:tcPr>
            <w:tcW w:w="2070" w:type="dxa"/>
            <w:tcBorders>
              <w:top w:val="nil"/>
              <w:left w:val="nil"/>
              <w:bottom w:val="nil"/>
              <w:right w:val="nil"/>
            </w:tcBorders>
          </w:tcPr>
          <w:p w14:paraId="1C3B3591" w14:textId="0074F78A"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27.6%</w:t>
            </w:r>
          </w:p>
        </w:tc>
        <w:tc>
          <w:tcPr>
            <w:tcW w:w="2250" w:type="dxa"/>
            <w:tcBorders>
              <w:top w:val="nil"/>
              <w:left w:val="nil"/>
              <w:bottom w:val="nil"/>
              <w:right w:val="nil"/>
            </w:tcBorders>
          </w:tcPr>
          <w:p w14:paraId="5BB28DE0" w14:textId="668884A0"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52,762,009</w:t>
            </w:r>
          </w:p>
        </w:tc>
      </w:tr>
      <w:tr w:rsidR="00685D8F" w:rsidRPr="00192227" w14:paraId="150EBFD7" w14:textId="77777777" w:rsidTr="00685D8F">
        <w:trPr>
          <w:trHeight w:val="315"/>
        </w:trPr>
        <w:tc>
          <w:tcPr>
            <w:tcW w:w="3324" w:type="dxa"/>
            <w:tcBorders>
              <w:top w:val="nil"/>
              <w:left w:val="nil"/>
              <w:bottom w:val="nil"/>
              <w:right w:val="nil"/>
            </w:tcBorders>
            <w:shd w:val="clear" w:color="auto" w:fill="auto"/>
            <w:vAlign w:val="center"/>
            <w:hideMark/>
          </w:tcPr>
          <w:p w14:paraId="23B73C30" w14:textId="17B558EE" w:rsidR="00685D8F" w:rsidRPr="00192227" w:rsidRDefault="00685D8F" w:rsidP="00685D8F">
            <w:pPr>
              <w:rPr>
                <w:rFonts w:asciiTheme="minorHAnsi" w:eastAsia="Times New Roman" w:hAnsiTheme="minorHAnsi"/>
                <w:color w:val="000000"/>
              </w:rPr>
            </w:pPr>
            <w:r w:rsidRPr="00192227">
              <w:rPr>
                <w:rFonts w:asciiTheme="minorHAnsi" w:eastAsia="Times New Roman" w:hAnsiTheme="minorHAnsi"/>
                <w:color w:val="000000"/>
              </w:rPr>
              <w:t>Other Expenses</w:t>
            </w:r>
          </w:p>
        </w:tc>
        <w:tc>
          <w:tcPr>
            <w:tcW w:w="2058" w:type="dxa"/>
            <w:tcBorders>
              <w:top w:val="nil"/>
              <w:left w:val="nil"/>
              <w:bottom w:val="nil"/>
              <w:right w:val="nil"/>
            </w:tcBorders>
            <w:shd w:val="clear" w:color="auto" w:fill="auto"/>
            <w:hideMark/>
          </w:tcPr>
          <w:p w14:paraId="478CBDBA" w14:textId="36052AD1"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 xml:space="preserve"> $3,401 </w:t>
            </w:r>
          </w:p>
        </w:tc>
        <w:tc>
          <w:tcPr>
            <w:tcW w:w="2070" w:type="dxa"/>
            <w:tcBorders>
              <w:top w:val="nil"/>
              <w:left w:val="nil"/>
              <w:bottom w:val="nil"/>
              <w:right w:val="nil"/>
            </w:tcBorders>
          </w:tcPr>
          <w:p w14:paraId="020CD43C" w14:textId="153DF131"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15.6%</w:t>
            </w:r>
          </w:p>
        </w:tc>
        <w:tc>
          <w:tcPr>
            <w:tcW w:w="2250" w:type="dxa"/>
            <w:tcBorders>
              <w:top w:val="nil"/>
              <w:left w:val="nil"/>
              <w:bottom w:val="nil"/>
              <w:right w:val="nil"/>
            </w:tcBorders>
          </w:tcPr>
          <w:p w14:paraId="64CCD040" w14:textId="264B0288"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29,718,355</w:t>
            </w:r>
          </w:p>
        </w:tc>
      </w:tr>
      <w:tr w:rsidR="00685D8F" w:rsidRPr="00192227" w14:paraId="41826CDD" w14:textId="77777777" w:rsidTr="00685D8F">
        <w:trPr>
          <w:trHeight w:val="324"/>
        </w:trPr>
        <w:tc>
          <w:tcPr>
            <w:tcW w:w="3324" w:type="dxa"/>
            <w:tcBorders>
              <w:top w:val="nil"/>
              <w:left w:val="nil"/>
              <w:bottom w:val="nil"/>
              <w:right w:val="nil"/>
            </w:tcBorders>
            <w:shd w:val="clear" w:color="auto" w:fill="auto"/>
            <w:vAlign w:val="center"/>
            <w:hideMark/>
          </w:tcPr>
          <w:p w14:paraId="71E246A3" w14:textId="08CE8C5F" w:rsidR="00685D8F" w:rsidRPr="00192227" w:rsidRDefault="00685D8F" w:rsidP="00685D8F">
            <w:pPr>
              <w:rPr>
                <w:rFonts w:asciiTheme="minorHAnsi" w:eastAsia="Times New Roman" w:hAnsiTheme="minorHAnsi"/>
                <w:color w:val="000000"/>
              </w:rPr>
            </w:pPr>
            <w:r w:rsidRPr="00192227">
              <w:rPr>
                <w:rFonts w:asciiTheme="minorHAnsi" w:eastAsia="Times New Roman" w:hAnsiTheme="minorHAnsi"/>
                <w:color w:val="000000"/>
              </w:rPr>
              <w:t>Fertilizer/Chemicals</w:t>
            </w:r>
          </w:p>
        </w:tc>
        <w:tc>
          <w:tcPr>
            <w:tcW w:w="2058" w:type="dxa"/>
            <w:tcBorders>
              <w:top w:val="nil"/>
              <w:left w:val="nil"/>
              <w:bottom w:val="nil"/>
              <w:right w:val="nil"/>
            </w:tcBorders>
            <w:shd w:val="clear" w:color="auto" w:fill="auto"/>
            <w:hideMark/>
          </w:tcPr>
          <w:p w14:paraId="10BCC983" w14:textId="5066B04E"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 xml:space="preserve"> $635 </w:t>
            </w:r>
          </w:p>
        </w:tc>
        <w:tc>
          <w:tcPr>
            <w:tcW w:w="2070" w:type="dxa"/>
            <w:tcBorders>
              <w:top w:val="nil"/>
              <w:left w:val="nil"/>
              <w:bottom w:val="nil"/>
              <w:right w:val="nil"/>
            </w:tcBorders>
          </w:tcPr>
          <w:p w14:paraId="6C507F08" w14:textId="58EFD7AC"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2.9%</w:t>
            </w:r>
          </w:p>
        </w:tc>
        <w:tc>
          <w:tcPr>
            <w:tcW w:w="2250" w:type="dxa"/>
            <w:tcBorders>
              <w:top w:val="nil"/>
              <w:left w:val="nil"/>
              <w:bottom w:val="nil"/>
              <w:right w:val="nil"/>
            </w:tcBorders>
          </w:tcPr>
          <w:p w14:paraId="56646717" w14:textId="0530D6B4"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5,552,405</w:t>
            </w:r>
          </w:p>
        </w:tc>
      </w:tr>
      <w:tr w:rsidR="00685D8F" w:rsidRPr="00192227" w14:paraId="29F7C242" w14:textId="77777777" w:rsidTr="00685D8F">
        <w:trPr>
          <w:trHeight w:val="300"/>
        </w:trPr>
        <w:tc>
          <w:tcPr>
            <w:tcW w:w="3324" w:type="dxa"/>
            <w:tcBorders>
              <w:top w:val="nil"/>
              <w:left w:val="nil"/>
              <w:bottom w:val="nil"/>
              <w:right w:val="nil"/>
            </w:tcBorders>
            <w:shd w:val="clear" w:color="auto" w:fill="auto"/>
            <w:vAlign w:val="bottom"/>
            <w:hideMark/>
          </w:tcPr>
          <w:p w14:paraId="4397346D" w14:textId="2CF759DC" w:rsidR="00685D8F" w:rsidRPr="00192227" w:rsidRDefault="00685D8F" w:rsidP="00685D8F">
            <w:pPr>
              <w:rPr>
                <w:rFonts w:asciiTheme="minorHAnsi" w:eastAsia="Times New Roman" w:hAnsiTheme="minorHAnsi"/>
                <w:color w:val="000000"/>
              </w:rPr>
            </w:pPr>
            <w:r w:rsidRPr="00192227">
              <w:rPr>
                <w:rFonts w:asciiTheme="minorHAnsi" w:eastAsia="Times New Roman" w:hAnsiTheme="minorHAnsi"/>
                <w:color w:val="000000"/>
              </w:rPr>
              <w:t>Rent</w:t>
            </w:r>
          </w:p>
        </w:tc>
        <w:tc>
          <w:tcPr>
            <w:tcW w:w="2058" w:type="dxa"/>
            <w:tcBorders>
              <w:top w:val="nil"/>
              <w:left w:val="nil"/>
              <w:bottom w:val="nil"/>
              <w:right w:val="nil"/>
            </w:tcBorders>
            <w:shd w:val="clear" w:color="auto" w:fill="auto"/>
            <w:hideMark/>
          </w:tcPr>
          <w:p w14:paraId="1AC300C8" w14:textId="291F052F"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 xml:space="preserve"> $1,120 </w:t>
            </w:r>
          </w:p>
        </w:tc>
        <w:tc>
          <w:tcPr>
            <w:tcW w:w="2070" w:type="dxa"/>
            <w:tcBorders>
              <w:top w:val="nil"/>
              <w:left w:val="nil"/>
              <w:bottom w:val="nil"/>
              <w:right w:val="nil"/>
            </w:tcBorders>
          </w:tcPr>
          <w:p w14:paraId="415B4908" w14:textId="4B121FF2"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5.1%</w:t>
            </w:r>
          </w:p>
        </w:tc>
        <w:tc>
          <w:tcPr>
            <w:tcW w:w="2250" w:type="dxa"/>
            <w:tcBorders>
              <w:top w:val="nil"/>
              <w:left w:val="nil"/>
              <w:bottom w:val="nil"/>
              <w:right w:val="nil"/>
            </w:tcBorders>
          </w:tcPr>
          <w:p w14:paraId="285E93E4" w14:textId="39B19AAF"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9,783,764</w:t>
            </w:r>
          </w:p>
        </w:tc>
      </w:tr>
      <w:tr w:rsidR="00685D8F" w:rsidRPr="00192227" w14:paraId="7BA80151" w14:textId="77777777" w:rsidTr="00685D8F">
        <w:trPr>
          <w:trHeight w:val="300"/>
        </w:trPr>
        <w:tc>
          <w:tcPr>
            <w:tcW w:w="3324" w:type="dxa"/>
            <w:tcBorders>
              <w:top w:val="nil"/>
              <w:left w:val="nil"/>
              <w:bottom w:val="nil"/>
              <w:right w:val="nil"/>
            </w:tcBorders>
            <w:shd w:val="clear" w:color="auto" w:fill="auto"/>
            <w:vAlign w:val="bottom"/>
            <w:hideMark/>
          </w:tcPr>
          <w:p w14:paraId="20E41FFE" w14:textId="76A45D36" w:rsidR="00685D8F" w:rsidRPr="00192227" w:rsidRDefault="00685D8F" w:rsidP="00685D8F">
            <w:pPr>
              <w:rPr>
                <w:rFonts w:asciiTheme="minorHAnsi" w:eastAsia="Times New Roman" w:hAnsiTheme="minorHAnsi"/>
                <w:color w:val="000000"/>
              </w:rPr>
            </w:pPr>
            <w:r w:rsidRPr="00192227">
              <w:rPr>
                <w:rFonts w:asciiTheme="minorHAnsi" w:eastAsia="Times New Roman" w:hAnsiTheme="minorHAnsi"/>
                <w:color w:val="000000"/>
              </w:rPr>
              <w:t>Contract/Custom Hire</w:t>
            </w:r>
          </w:p>
        </w:tc>
        <w:tc>
          <w:tcPr>
            <w:tcW w:w="2058" w:type="dxa"/>
            <w:tcBorders>
              <w:top w:val="nil"/>
              <w:left w:val="nil"/>
              <w:bottom w:val="nil"/>
              <w:right w:val="nil"/>
            </w:tcBorders>
            <w:shd w:val="clear" w:color="auto" w:fill="auto"/>
            <w:hideMark/>
          </w:tcPr>
          <w:p w14:paraId="6AAC07B9" w14:textId="12E06C3D"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 xml:space="preserve"> $395 </w:t>
            </w:r>
          </w:p>
        </w:tc>
        <w:tc>
          <w:tcPr>
            <w:tcW w:w="2070" w:type="dxa"/>
            <w:tcBorders>
              <w:top w:val="nil"/>
              <w:left w:val="nil"/>
              <w:bottom w:val="nil"/>
              <w:right w:val="nil"/>
            </w:tcBorders>
          </w:tcPr>
          <w:p w14:paraId="2EF3DCB6" w14:textId="4867896F"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1.8%</w:t>
            </w:r>
          </w:p>
        </w:tc>
        <w:tc>
          <w:tcPr>
            <w:tcW w:w="2250" w:type="dxa"/>
            <w:tcBorders>
              <w:top w:val="nil"/>
              <w:left w:val="nil"/>
              <w:bottom w:val="nil"/>
              <w:right w:val="nil"/>
            </w:tcBorders>
          </w:tcPr>
          <w:p w14:paraId="24C6F163" w14:textId="57ABE264"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3,450,681</w:t>
            </w:r>
          </w:p>
        </w:tc>
      </w:tr>
      <w:tr w:rsidR="00685D8F" w:rsidRPr="00192227" w14:paraId="2596E507" w14:textId="77777777" w:rsidTr="00685D8F">
        <w:trPr>
          <w:trHeight w:val="300"/>
        </w:trPr>
        <w:tc>
          <w:tcPr>
            <w:tcW w:w="3324" w:type="dxa"/>
            <w:tcBorders>
              <w:top w:val="nil"/>
              <w:left w:val="nil"/>
              <w:bottom w:val="nil"/>
              <w:right w:val="nil"/>
            </w:tcBorders>
            <w:shd w:val="clear" w:color="auto" w:fill="auto"/>
            <w:noWrap/>
            <w:vAlign w:val="bottom"/>
            <w:hideMark/>
          </w:tcPr>
          <w:p w14:paraId="77477A68" w14:textId="002FBDD6" w:rsidR="00685D8F" w:rsidRPr="00192227" w:rsidRDefault="00685D8F" w:rsidP="00685D8F">
            <w:pPr>
              <w:rPr>
                <w:rFonts w:asciiTheme="minorHAnsi" w:eastAsia="Times New Roman" w:hAnsiTheme="minorHAnsi"/>
                <w:color w:val="000000"/>
              </w:rPr>
            </w:pPr>
            <w:r w:rsidRPr="00192227">
              <w:rPr>
                <w:rFonts w:asciiTheme="minorHAnsi" w:eastAsia="Times New Roman" w:hAnsiTheme="minorHAnsi"/>
                <w:color w:val="000000"/>
              </w:rPr>
              <w:t>Paid Work Expense</w:t>
            </w:r>
          </w:p>
        </w:tc>
        <w:tc>
          <w:tcPr>
            <w:tcW w:w="2058" w:type="dxa"/>
            <w:tcBorders>
              <w:top w:val="nil"/>
              <w:left w:val="nil"/>
              <w:bottom w:val="nil"/>
              <w:right w:val="nil"/>
            </w:tcBorders>
            <w:shd w:val="clear" w:color="auto" w:fill="auto"/>
            <w:hideMark/>
          </w:tcPr>
          <w:p w14:paraId="0C2FDCE6" w14:textId="72465652"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 xml:space="preserve"> $559 </w:t>
            </w:r>
          </w:p>
        </w:tc>
        <w:tc>
          <w:tcPr>
            <w:tcW w:w="2070" w:type="dxa"/>
            <w:tcBorders>
              <w:top w:val="nil"/>
              <w:left w:val="nil"/>
              <w:bottom w:val="nil"/>
              <w:right w:val="nil"/>
            </w:tcBorders>
          </w:tcPr>
          <w:p w14:paraId="75150C46" w14:textId="048871AE"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2.6%</w:t>
            </w:r>
          </w:p>
        </w:tc>
        <w:tc>
          <w:tcPr>
            <w:tcW w:w="2250" w:type="dxa"/>
            <w:tcBorders>
              <w:top w:val="nil"/>
              <w:left w:val="nil"/>
              <w:bottom w:val="nil"/>
              <w:right w:val="nil"/>
            </w:tcBorders>
          </w:tcPr>
          <w:p w14:paraId="19EAFAD8" w14:textId="53657627"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4,887,575</w:t>
            </w:r>
          </w:p>
        </w:tc>
      </w:tr>
      <w:tr w:rsidR="00685D8F" w:rsidRPr="00192227" w14:paraId="3149FCC3" w14:textId="77777777" w:rsidTr="00685D8F">
        <w:trPr>
          <w:trHeight w:val="300"/>
        </w:trPr>
        <w:tc>
          <w:tcPr>
            <w:tcW w:w="3324" w:type="dxa"/>
            <w:tcBorders>
              <w:top w:val="nil"/>
              <w:left w:val="nil"/>
              <w:bottom w:val="nil"/>
              <w:right w:val="nil"/>
            </w:tcBorders>
            <w:shd w:val="clear" w:color="auto" w:fill="auto"/>
            <w:noWrap/>
            <w:vAlign w:val="center"/>
            <w:hideMark/>
          </w:tcPr>
          <w:p w14:paraId="28DCF285" w14:textId="06D1C990" w:rsidR="00685D8F" w:rsidRPr="00192227" w:rsidRDefault="00685D8F" w:rsidP="00685D8F">
            <w:pPr>
              <w:rPr>
                <w:rFonts w:asciiTheme="minorHAnsi" w:eastAsia="Times New Roman" w:hAnsiTheme="minorHAnsi"/>
                <w:color w:val="000000"/>
              </w:rPr>
            </w:pPr>
            <w:r w:rsidRPr="00192227">
              <w:rPr>
                <w:rFonts w:asciiTheme="minorHAnsi" w:eastAsia="Times New Roman" w:hAnsiTheme="minorHAnsi"/>
                <w:color w:val="000000"/>
              </w:rPr>
              <w:t>Supplies</w:t>
            </w:r>
          </w:p>
        </w:tc>
        <w:tc>
          <w:tcPr>
            <w:tcW w:w="2058" w:type="dxa"/>
            <w:tcBorders>
              <w:top w:val="nil"/>
              <w:left w:val="nil"/>
              <w:bottom w:val="nil"/>
              <w:right w:val="nil"/>
            </w:tcBorders>
            <w:shd w:val="clear" w:color="auto" w:fill="auto"/>
            <w:hideMark/>
          </w:tcPr>
          <w:p w14:paraId="3F509BE7" w14:textId="23BDDD5B"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 xml:space="preserve"> $1,200 </w:t>
            </w:r>
          </w:p>
        </w:tc>
        <w:tc>
          <w:tcPr>
            <w:tcW w:w="2070" w:type="dxa"/>
            <w:tcBorders>
              <w:top w:val="nil"/>
              <w:left w:val="nil"/>
              <w:bottom w:val="nil"/>
              <w:right w:val="nil"/>
            </w:tcBorders>
          </w:tcPr>
          <w:p w14:paraId="571A3627" w14:textId="7F9A6F6F"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5.5%</w:t>
            </w:r>
          </w:p>
        </w:tc>
        <w:tc>
          <w:tcPr>
            <w:tcW w:w="2250" w:type="dxa"/>
            <w:tcBorders>
              <w:top w:val="nil"/>
              <w:left w:val="nil"/>
              <w:bottom w:val="nil"/>
              <w:right w:val="nil"/>
            </w:tcBorders>
          </w:tcPr>
          <w:p w14:paraId="098D59E5" w14:textId="5DE067E9"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10,487,779</w:t>
            </w:r>
          </w:p>
        </w:tc>
      </w:tr>
      <w:tr w:rsidR="00685D8F" w:rsidRPr="00192227" w14:paraId="0E1D5DBD" w14:textId="77777777" w:rsidTr="00685D8F">
        <w:trPr>
          <w:trHeight w:val="300"/>
        </w:trPr>
        <w:tc>
          <w:tcPr>
            <w:tcW w:w="3324" w:type="dxa"/>
            <w:tcBorders>
              <w:top w:val="nil"/>
              <w:left w:val="nil"/>
              <w:bottom w:val="nil"/>
              <w:right w:val="nil"/>
            </w:tcBorders>
            <w:shd w:val="clear" w:color="auto" w:fill="auto"/>
            <w:noWrap/>
            <w:vAlign w:val="center"/>
            <w:hideMark/>
          </w:tcPr>
          <w:p w14:paraId="7E72A4D2" w14:textId="421EFDB7" w:rsidR="00685D8F" w:rsidRPr="00192227" w:rsidRDefault="00685D8F" w:rsidP="00685D8F">
            <w:pPr>
              <w:rPr>
                <w:rFonts w:asciiTheme="minorHAnsi" w:eastAsia="Times New Roman" w:hAnsiTheme="minorHAnsi"/>
                <w:color w:val="000000"/>
              </w:rPr>
            </w:pPr>
            <w:r w:rsidRPr="00192227">
              <w:rPr>
                <w:rFonts w:asciiTheme="minorHAnsi" w:eastAsia="Times New Roman" w:hAnsiTheme="minorHAnsi"/>
                <w:color w:val="000000"/>
              </w:rPr>
              <w:t>Seed</w:t>
            </w:r>
          </w:p>
        </w:tc>
        <w:tc>
          <w:tcPr>
            <w:tcW w:w="2058" w:type="dxa"/>
            <w:tcBorders>
              <w:top w:val="nil"/>
              <w:left w:val="nil"/>
              <w:bottom w:val="nil"/>
              <w:right w:val="nil"/>
            </w:tcBorders>
            <w:shd w:val="clear" w:color="auto" w:fill="auto"/>
            <w:hideMark/>
          </w:tcPr>
          <w:p w14:paraId="0F2A0BC8" w14:textId="51CCA02B"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 xml:space="preserve"> $381 </w:t>
            </w:r>
          </w:p>
        </w:tc>
        <w:tc>
          <w:tcPr>
            <w:tcW w:w="2070" w:type="dxa"/>
            <w:tcBorders>
              <w:top w:val="nil"/>
              <w:left w:val="nil"/>
              <w:bottom w:val="nil"/>
              <w:right w:val="nil"/>
            </w:tcBorders>
          </w:tcPr>
          <w:p w14:paraId="3E90D014" w14:textId="7B1D7340"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1.7%</w:t>
            </w:r>
          </w:p>
        </w:tc>
        <w:tc>
          <w:tcPr>
            <w:tcW w:w="2250" w:type="dxa"/>
            <w:tcBorders>
              <w:top w:val="nil"/>
              <w:left w:val="nil"/>
              <w:bottom w:val="nil"/>
              <w:right w:val="nil"/>
            </w:tcBorders>
          </w:tcPr>
          <w:p w14:paraId="36D08ED0" w14:textId="0084482C"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3,331,491</w:t>
            </w:r>
          </w:p>
        </w:tc>
      </w:tr>
      <w:tr w:rsidR="00685D8F" w:rsidRPr="00192227" w14:paraId="5428DD59" w14:textId="77777777" w:rsidTr="00685D8F">
        <w:trPr>
          <w:trHeight w:val="300"/>
        </w:trPr>
        <w:tc>
          <w:tcPr>
            <w:tcW w:w="3324" w:type="dxa"/>
            <w:tcBorders>
              <w:top w:val="nil"/>
              <w:left w:val="nil"/>
              <w:bottom w:val="nil"/>
              <w:right w:val="nil"/>
            </w:tcBorders>
            <w:shd w:val="clear" w:color="auto" w:fill="auto"/>
            <w:noWrap/>
            <w:vAlign w:val="bottom"/>
            <w:hideMark/>
          </w:tcPr>
          <w:p w14:paraId="17A1DD9A" w14:textId="02C03D02" w:rsidR="00685D8F" w:rsidRPr="00192227" w:rsidRDefault="00685D8F" w:rsidP="00685D8F">
            <w:pPr>
              <w:rPr>
                <w:rFonts w:asciiTheme="minorHAnsi" w:eastAsia="Times New Roman" w:hAnsiTheme="minorHAnsi"/>
                <w:color w:val="000000"/>
              </w:rPr>
            </w:pPr>
            <w:r w:rsidRPr="00192227">
              <w:rPr>
                <w:rFonts w:asciiTheme="minorHAnsi" w:eastAsia="Times New Roman" w:hAnsiTheme="minorHAnsi"/>
                <w:color w:val="000000"/>
              </w:rPr>
              <w:t>Fuel</w:t>
            </w:r>
          </w:p>
        </w:tc>
        <w:tc>
          <w:tcPr>
            <w:tcW w:w="2058" w:type="dxa"/>
            <w:tcBorders>
              <w:top w:val="nil"/>
              <w:left w:val="nil"/>
              <w:bottom w:val="nil"/>
              <w:right w:val="nil"/>
            </w:tcBorders>
            <w:shd w:val="clear" w:color="auto" w:fill="auto"/>
            <w:hideMark/>
          </w:tcPr>
          <w:p w14:paraId="37BF0A6D" w14:textId="16C5ED5D"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 xml:space="preserve"> $211 </w:t>
            </w:r>
          </w:p>
        </w:tc>
        <w:tc>
          <w:tcPr>
            <w:tcW w:w="2070" w:type="dxa"/>
            <w:tcBorders>
              <w:top w:val="nil"/>
              <w:left w:val="nil"/>
              <w:bottom w:val="nil"/>
              <w:right w:val="nil"/>
            </w:tcBorders>
          </w:tcPr>
          <w:p w14:paraId="05824902" w14:textId="3D0E1FBC"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1.0%</w:t>
            </w:r>
          </w:p>
        </w:tc>
        <w:tc>
          <w:tcPr>
            <w:tcW w:w="2250" w:type="dxa"/>
            <w:tcBorders>
              <w:top w:val="nil"/>
              <w:left w:val="nil"/>
              <w:bottom w:val="nil"/>
              <w:right w:val="nil"/>
            </w:tcBorders>
          </w:tcPr>
          <w:p w14:paraId="7568275E" w14:textId="0E7D4DE4"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1,846,631</w:t>
            </w:r>
          </w:p>
        </w:tc>
      </w:tr>
      <w:tr w:rsidR="00685D8F" w:rsidRPr="00192227" w14:paraId="4AAE9A83" w14:textId="77777777" w:rsidTr="00685D8F">
        <w:trPr>
          <w:trHeight w:val="300"/>
        </w:trPr>
        <w:tc>
          <w:tcPr>
            <w:tcW w:w="3324" w:type="dxa"/>
            <w:tcBorders>
              <w:top w:val="nil"/>
              <w:left w:val="nil"/>
              <w:bottom w:val="nil"/>
              <w:right w:val="nil"/>
            </w:tcBorders>
            <w:shd w:val="clear" w:color="auto" w:fill="auto"/>
            <w:noWrap/>
            <w:vAlign w:val="bottom"/>
            <w:hideMark/>
          </w:tcPr>
          <w:p w14:paraId="3EC09079" w14:textId="03416745" w:rsidR="00685D8F" w:rsidRPr="00192227" w:rsidRDefault="00685D8F" w:rsidP="00685D8F">
            <w:pPr>
              <w:rPr>
                <w:rFonts w:asciiTheme="minorHAnsi" w:eastAsia="Times New Roman" w:hAnsiTheme="minorHAnsi"/>
                <w:color w:val="000000"/>
              </w:rPr>
            </w:pPr>
            <w:r w:rsidRPr="00192227">
              <w:rPr>
                <w:rFonts w:asciiTheme="minorHAnsi" w:eastAsia="Times New Roman" w:hAnsiTheme="minorHAnsi"/>
                <w:color w:val="000000"/>
              </w:rPr>
              <w:t>Entry Fees/Commissions</w:t>
            </w:r>
          </w:p>
        </w:tc>
        <w:tc>
          <w:tcPr>
            <w:tcW w:w="2058" w:type="dxa"/>
            <w:tcBorders>
              <w:top w:val="nil"/>
              <w:left w:val="nil"/>
              <w:bottom w:val="nil"/>
              <w:right w:val="nil"/>
            </w:tcBorders>
            <w:shd w:val="clear" w:color="auto" w:fill="auto"/>
            <w:hideMark/>
          </w:tcPr>
          <w:p w14:paraId="7C73566F" w14:textId="43E92D0B"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 xml:space="preserve"> $360 </w:t>
            </w:r>
          </w:p>
        </w:tc>
        <w:tc>
          <w:tcPr>
            <w:tcW w:w="2070" w:type="dxa"/>
            <w:tcBorders>
              <w:top w:val="nil"/>
              <w:left w:val="nil"/>
              <w:bottom w:val="nil"/>
              <w:right w:val="nil"/>
            </w:tcBorders>
          </w:tcPr>
          <w:p w14:paraId="55FE1912" w14:textId="236446B9"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1.6%</w:t>
            </w:r>
          </w:p>
        </w:tc>
        <w:tc>
          <w:tcPr>
            <w:tcW w:w="2250" w:type="dxa"/>
            <w:tcBorders>
              <w:top w:val="nil"/>
              <w:left w:val="nil"/>
              <w:bottom w:val="nil"/>
              <w:right w:val="nil"/>
            </w:tcBorders>
          </w:tcPr>
          <w:p w14:paraId="21EA17EF" w14:textId="08E1C83A"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3,142,592</w:t>
            </w:r>
          </w:p>
        </w:tc>
      </w:tr>
      <w:tr w:rsidR="00685D8F" w:rsidRPr="00192227" w14:paraId="378B114E" w14:textId="77777777" w:rsidTr="00685D8F">
        <w:trPr>
          <w:trHeight w:val="300"/>
        </w:trPr>
        <w:tc>
          <w:tcPr>
            <w:tcW w:w="3324" w:type="dxa"/>
            <w:tcBorders>
              <w:top w:val="nil"/>
              <w:left w:val="nil"/>
              <w:bottom w:val="nil"/>
              <w:right w:val="nil"/>
            </w:tcBorders>
            <w:shd w:val="clear" w:color="auto" w:fill="auto"/>
            <w:noWrap/>
            <w:vAlign w:val="center"/>
            <w:hideMark/>
          </w:tcPr>
          <w:p w14:paraId="276A7779" w14:textId="0C2AE0A7" w:rsidR="00685D8F" w:rsidRPr="00192227" w:rsidRDefault="00685D8F" w:rsidP="00685D8F">
            <w:pPr>
              <w:rPr>
                <w:rFonts w:asciiTheme="minorHAnsi" w:eastAsia="Times New Roman" w:hAnsiTheme="minorHAnsi"/>
                <w:color w:val="000000"/>
              </w:rPr>
            </w:pPr>
            <w:r w:rsidRPr="00192227">
              <w:rPr>
                <w:rFonts w:asciiTheme="minorHAnsi" w:eastAsia="Times New Roman" w:hAnsiTheme="minorHAnsi"/>
                <w:color w:val="000000"/>
              </w:rPr>
              <w:t>Repairs/Maintenance</w:t>
            </w:r>
          </w:p>
        </w:tc>
        <w:tc>
          <w:tcPr>
            <w:tcW w:w="2058" w:type="dxa"/>
            <w:tcBorders>
              <w:top w:val="nil"/>
              <w:left w:val="nil"/>
              <w:bottom w:val="nil"/>
              <w:right w:val="nil"/>
            </w:tcBorders>
            <w:shd w:val="clear" w:color="auto" w:fill="auto"/>
            <w:hideMark/>
          </w:tcPr>
          <w:p w14:paraId="3A76154E" w14:textId="005CAC28"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 xml:space="preserve"> $249 </w:t>
            </w:r>
          </w:p>
        </w:tc>
        <w:tc>
          <w:tcPr>
            <w:tcW w:w="2070" w:type="dxa"/>
            <w:tcBorders>
              <w:top w:val="nil"/>
              <w:left w:val="nil"/>
              <w:bottom w:val="nil"/>
              <w:right w:val="nil"/>
            </w:tcBorders>
          </w:tcPr>
          <w:p w14:paraId="05AA7372" w14:textId="3EFD14A9"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1.1%</w:t>
            </w:r>
          </w:p>
        </w:tc>
        <w:tc>
          <w:tcPr>
            <w:tcW w:w="2250" w:type="dxa"/>
            <w:tcBorders>
              <w:top w:val="nil"/>
              <w:left w:val="nil"/>
              <w:bottom w:val="nil"/>
              <w:right w:val="nil"/>
            </w:tcBorders>
          </w:tcPr>
          <w:p w14:paraId="4CCC767F" w14:textId="58ADF867"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2,172,069</w:t>
            </w:r>
          </w:p>
        </w:tc>
      </w:tr>
      <w:tr w:rsidR="00685D8F" w:rsidRPr="00192227" w14:paraId="7E339F2A" w14:textId="77777777" w:rsidTr="00685D8F">
        <w:trPr>
          <w:trHeight w:val="320"/>
        </w:trPr>
        <w:tc>
          <w:tcPr>
            <w:tcW w:w="3324" w:type="dxa"/>
            <w:tcBorders>
              <w:top w:val="nil"/>
              <w:left w:val="nil"/>
              <w:bottom w:val="single" w:sz="8" w:space="0" w:color="auto"/>
              <w:right w:val="nil"/>
            </w:tcBorders>
            <w:shd w:val="clear" w:color="auto" w:fill="auto"/>
            <w:vAlign w:val="center"/>
            <w:hideMark/>
          </w:tcPr>
          <w:p w14:paraId="6D23ACAF" w14:textId="64FCDFAA" w:rsidR="00685D8F" w:rsidRPr="00192227" w:rsidRDefault="00685D8F" w:rsidP="00685D8F">
            <w:pPr>
              <w:rPr>
                <w:rFonts w:asciiTheme="minorHAnsi" w:eastAsia="Times New Roman" w:hAnsiTheme="minorHAnsi"/>
                <w:color w:val="000000"/>
              </w:rPr>
            </w:pPr>
            <w:r w:rsidRPr="00192227">
              <w:rPr>
                <w:rFonts w:asciiTheme="minorHAnsi" w:eastAsia="Times New Roman" w:hAnsiTheme="minorHAnsi"/>
                <w:color w:val="000000"/>
              </w:rPr>
              <w:t>Veterinary Medicine</w:t>
            </w:r>
          </w:p>
        </w:tc>
        <w:tc>
          <w:tcPr>
            <w:tcW w:w="2058" w:type="dxa"/>
            <w:tcBorders>
              <w:top w:val="nil"/>
              <w:left w:val="nil"/>
              <w:bottom w:val="single" w:sz="8" w:space="0" w:color="auto"/>
              <w:right w:val="nil"/>
            </w:tcBorders>
            <w:shd w:val="clear" w:color="auto" w:fill="auto"/>
            <w:hideMark/>
          </w:tcPr>
          <w:p w14:paraId="0CA49D21" w14:textId="40FCA5FA"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 xml:space="preserve"> $419 </w:t>
            </w:r>
          </w:p>
        </w:tc>
        <w:tc>
          <w:tcPr>
            <w:tcW w:w="2070" w:type="dxa"/>
            <w:tcBorders>
              <w:top w:val="nil"/>
              <w:left w:val="nil"/>
              <w:bottom w:val="single" w:sz="8" w:space="0" w:color="auto"/>
              <w:right w:val="nil"/>
            </w:tcBorders>
          </w:tcPr>
          <w:p w14:paraId="75AB83AC" w14:textId="186265C3"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1.9%</w:t>
            </w:r>
          </w:p>
        </w:tc>
        <w:tc>
          <w:tcPr>
            <w:tcW w:w="2250" w:type="dxa"/>
            <w:tcBorders>
              <w:top w:val="nil"/>
              <w:left w:val="nil"/>
              <w:bottom w:val="single" w:sz="8" w:space="0" w:color="auto"/>
              <w:right w:val="nil"/>
            </w:tcBorders>
          </w:tcPr>
          <w:p w14:paraId="7C187CE0" w14:textId="5AD713F0"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3,658,283</w:t>
            </w:r>
          </w:p>
        </w:tc>
      </w:tr>
      <w:tr w:rsidR="00685D8F" w:rsidRPr="00192227" w14:paraId="0143ABA2" w14:textId="77777777" w:rsidTr="00B706D0">
        <w:trPr>
          <w:trHeight w:val="320"/>
        </w:trPr>
        <w:tc>
          <w:tcPr>
            <w:tcW w:w="3324" w:type="dxa"/>
            <w:tcBorders>
              <w:top w:val="nil"/>
              <w:left w:val="nil"/>
              <w:bottom w:val="single" w:sz="8" w:space="0" w:color="auto"/>
              <w:right w:val="nil"/>
            </w:tcBorders>
            <w:shd w:val="clear" w:color="auto" w:fill="auto"/>
            <w:noWrap/>
            <w:vAlign w:val="bottom"/>
            <w:hideMark/>
          </w:tcPr>
          <w:p w14:paraId="1D6E14C2" w14:textId="77777777" w:rsidR="00685D8F" w:rsidRPr="00192227" w:rsidRDefault="00685D8F" w:rsidP="00685D8F">
            <w:pPr>
              <w:jc w:val="right"/>
              <w:rPr>
                <w:rFonts w:asciiTheme="minorHAnsi" w:eastAsia="Times New Roman" w:hAnsiTheme="minorHAnsi"/>
                <w:color w:val="000000"/>
              </w:rPr>
            </w:pPr>
            <w:r w:rsidRPr="00192227">
              <w:rPr>
                <w:rFonts w:asciiTheme="minorHAnsi" w:eastAsia="Times New Roman" w:hAnsiTheme="minorHAnsi"/>
                <w:color w:val="000000"/>
              </w:rPr>
              <w:t>Total Value</w:t>
            </w:r>
          </w:p>
        </w:tc>
        <w:tc>
          <w:tcPr>
            <w:tcW w:w="2058" w:type="dxa"/>
            <w:tcBorders>
              <w:top w:val="nil"/>
              <w:left w:val="nil"/>
              <w:bottom w:val="single" w:sz="8" w:space="0" w:color="auto"/>
              <w:right w:val="nil"/>
            </w:tcBorders>
            <w:shd w:val="clear" w:color="auto" w:fill="auto"/>
            <w:hideMark/>
          </w:tcPr>
          <w:p w14:paraId="231F0BC1" w14:textId="0386B84A"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 xml:space="preserve"> $21,857 </w:t>
            </w:r>
          </w:p>
        </w:tc>
        <w:tc>
          <w:tcPr>
            <w:tcW w:w="2070" w:type="dxa"/>
            <w:tcBorders>
              <w:top w:val="nil"/>
              <w:left w:val="nil"/>
              <w:bottom w:val="single" w:sz="8" w:space="0" w:color="auto"/>
              <w:right w:val="nil"/>
            </w:tcBorders>
          </w:tcPr>
          <w:p w14:paraId="78920B3C" w14:textId="6258971E"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100.0%</w:t>
            </w:r>
          </w:p>
        </w:tc>
        <w:tc>
          <w:tcPr>
            <w:tcW w:w="2250" w:type="dxa"/>
            <w:tcBorders>
              <w:top w:val="nil"/>
              <w:left w:val="nil"/>
              <w:bottom w:val="single" w:sz="8" w:space="0" w:color="auto"/>
              <w:right w:val="nil"/>
            </w:tcBorders>
          </w:tcPr>
          <w:p w14:paraId="6A7BB28B" w14:textId="4EABE782" w:rsidR="00685D8F" w:rsidRPr="00685D8F" w:rsidRDefault="00685D8F" w:rsidP="00685D8F">
            <w:pPr>
              <w:jc w:val="right"/>
              <w:rPr>
                <w:rFonts w:asciiTheme="minorHAnsi" w:eastAsia="Times New Roman" w:hAnsiTheme="minorHAnsi"/>
                <w:color w:val="000000"/>
              </w:rPr>
            </w:pPr>
            <w:r w:rsidRPr="00685D8F">
              <w:rPr>
                <w:rFonts w:asciiTheme="minorHAnsi" w:hAnsiTheme="minorHAnsi"/>
              </w:rPr>
              <w:t>$191,008,366</w:t>
            </w:r>
          </w:p>
        </w:tc>
      </w:tr>
    </w:tbl>
    <w:p w14:paraId="076011F5" w14:textId="77777777" w:rsidR="004A541E" w:rsidRPr="00192227" w:rsidRDefault="004A541E" w:rsidP="00192227">
      <w:pPr>
        <w:pStyle w:val="BodyText"/>
        <w:spacing w:after="0"/>
        <w:rPr>
          <w:rFonts w:ascii="Baskerville Old Face" w:hAnsi="Baskerville Old Face"/>
          <w:sz w:val="24"/>
          <w:szCs w:val="24"/>
        </w:rPr>
      </w:pPr>
    </w:p>
    <w:p w14:paraId="3D81975B" w14:textId="18331D9E" w:rsidR="00C12390" w:rsidRPr="00192227" w:rsidRDefault="004A541E" w:rsidP="00192227">
      <w:pPr>
        <w:pStyle w:val="BodyText"/>
        <w:spacing w:after="0"/>
        <w:rPr>
          <w:rFonts w:ascii="Baskerville Old Face" w:hAnsi="Baskerville Old Face"/>
          <w:sz w:val="24"/>
          <w:szCs w:val="24"/>
        </w:rPr>
      </w:pPr>
      <w:r w:rsidRPr="00192227">
        <w:rPr>
          <w:rFonts w:ascii="Baskerville Old Face" w:hAnsi="Baskerville Old Face"/>
          <w:sz w:val="24"/>
          <w:szCs w:val="24"/>
        </w:rPr>
        <w:t>Investment</w:t>
      </w:r>
      <w:r w:rsidR="00EC7768" w:rsidRPr="00192227">
        <w:rPr>
          <w:rFonts w:ascii="Baskerville Old Face" w:hAnsi="Baskerville Old Face"/>
          <w:sz w:val="24"/>
          <w:szCs w:val="24"/>
        </w:rPr>
        <w:t xml:space="preserve"> values also include </w:t>
      </w:r>
      <w:r w:rsidR="009D1112" w:rsidRPr="00192227">
        <w:rPr>
          <w:rFonts w:ascii="Baskerville Old Face" w:hAnsi="Baskerville Old Face"/>
          <w:sz w:val="24"/>
          <w:szCs w:val="24"/>
        </w:rPr>
        <w:t>non-current assets (long-term assets)</w:t>
      </w:r>
      <w:r w:rsidR="00C93981" w:rsidRPr="00192227">
        <w:rPr>
          <w:rFonts w:ascii="Baskerville Old Face" w:hAnsi="Baskerville Old Face"/>
          <w:sz w:val="24"/>
          <w:szCs w:val="24"/>
        </w:rPr>
        <w:t>,</w:t>
      </w:r>
      <w:r w:rsidR="009D1112" w:rsidRPr="00192227">
        <w:rPr>
          <w:rFonts w:ascii="Baskerville Old Face" w:hAnsi="Baskerville Old Face"/>
          <w:sz w:val="24"/>
          <w:szCs w:val="24"/>
        </w:rPr>
        <w:t xml:space="preserve"> </w:t>
      </w:r>
      <w:r w:rsidR="00EC7768" w:rsidRPr="00192227">
        <w:rPr>
          <w:rFonts w:ascii="Baskerville Old Face" w:hAnsi="Baskerville Old Face"/>
          <w:sz w:val="24"/>
          <w:szCs w:val="24"/>
        </w:rPr>
        <w:t xml:space="preserve">such as breeding animals, machinery, buildings and land, which are additional </w:t>
      </w:r>
      <w:r w:rsidR="00523F77" w:rsidRPr="00192227">
        <w:rPr>
          <w:rFonts w:ascii="Baskerville Old Face" w:hAnsi="Baskerville Old Face"/>
          <w:sz w:val="24"/>
          <w:szCs w:val="24"/>
        </w:rPr>
        <w:t>drivers to local, state and national economies</w:t>
      </w:r>
      <w:r w:rsidRPr="00192227">
        <w:rPr>
          <w:rFonts w:ascii="Baskerville Old Face" w:hAnsi="Baskerville Old Face"/>
          <w:sz w:val="24"/>
          <w:szCs w:val="24"/>
        </w:rPr>
        <w:t xml:space="preserve"> ($</w:t>
      </w:r>
      <w:r w:rsidR="00685D8F">
        <w:rPr>
          <w:rFonts w:ascii="Baskerville Old Face" w:hAnsi="Baskerville Old Face"/>
          <w:sz w:val="24"/>
          <w:szCs w:val="24"/>
        </w:rPr>
        <w:t>4,894</w:t>
      </w:r>
      <w:r w:rsidRPr="00192227">
        <w:rPr>
          <w:rFonts w:ascii="Baskerville Old Face" w:hAnsi="Baskerville Old Face"/>
          <w:sz w:val="24"/>
          <w:szCs w:val="24"/>
        </w:rPr>
        <w:t xml:space="preserve"> in </w:t>
      </w:r>
      <w:r w:rsidR="00685D8F">
        <w:rPr>
          <w:rFonts w:ascii="Baskerville Old Face" w:hAnsi="Baskerville Old Face"/>
          <w:sz w:val="24"/>
          <w:szCs w:val="24"/>
        </w:rPr>
        <w:t>2019</w:t>
      </w:r>
      <w:r w:rsidRPr="00192227">
        <w:rPr>
          <w:rFonts w:ascii="Baskerville Old Face" w:hAnsi="Baskerville Old Face"/>
          <w:sz w:val="24"/>
          <w:szCs w:val="24"/>
        </w:rPr>
        <w:t>)</w:t>
      </w:r>
      <w:r w:rsidR="00523F77" w:rsidRPr="00192227">
        <w:rPr>
          <w:rFonts w:ascii="Baskerville Old Face" w:hAnsi="Baskerville Old Face"/>
          <w:sz w:val="24"/>
          <w:szCs w:val="24"/>
        </w:rPr>
        <w:t>.</w:t>
      </w:r>
      <w:r w:rsidR="00C12390" w:rsidRPr="00192227">
        <w:rPr>
          <w:rFonts w:ascii="Baskerville Old Face" w:hAnsi="Baskerville Old Face"/>
          <w:sz w:val="24"/>
          <w:szCs w:val="24"/>
        </w:rPr>
        <w:t xml:space="preserve">  </w:t>
      </w:r>
      <w:r w:rsidR="00523F77" w:rsidRPr="00192227">
        <w:rPr>
          <w:rFonts w:ascii="Baskerville Old Face" w:hAnsi="Baskerville Old Face"/>
          <w:sz w:val="24"/>
          <w:szCs w:val="24"/>
        </w:rPr>
        <w:t xml:space="preserve"> </w:t>
      </w:r>
      <w:r w:rsidRPr="00192227">
        <w:rPr>
          <w:rFonts w:ascii="Baskerville Old Face" w:hAnsi="Baskerville Old Face"/>
          <w:sz w:val="24"/>
          <w:szCs w:val="24"/>
        </w:rPr>
        <w:t>Once investments are measured, a</w:t>
      </w:r>
      <w:r w:rsidR="00C12390" w:rsidRPr="00192227">
        <w:rPr>
          <w:rFonts w:ascii="Baskerville Old Face" w:hAnsi="Baskerville Old Face"/>
          <w:sz w:val="24"/>
          <w:szCs w:val="24"/>
        </w:rPr>
        <w:t xml:space="preserve">dditional impacts can be </w:t>
      </w:r>
      <w:r w:rsidRPr="00192227">
        <w:rPr>
          <w:rFonts w:ascii="Baskerville Old Face" w:hAnsi="Baskerville Old Face"/>
          <w:sz w:val="24"/>
          <w:szCs w:val="24"/>
        </w:rPr>
        <w:t>derived</w:t>
      </w:r>
      <w:r w:rsidR="00C12390" w:rsidRPr="00192227">
        <w:rPr>
          <w:rFonts w:ascii="Baskerville Old Face" w:hAnsi="Baskerville Old Face"/>
          <w:sz w:val="24"/>
          <w:szCs w:val="24"/>
        </w:rPr>
        <w:t xml:space="preserve"> using economic multiplier factors ($1.90 per $1 in spending IMPLAN Type II Multiplier). Table </w:t>
      </w:r>
      <w:r w:rsidR="00685D8F">
        <w:rPr>
          <w:rFonts w:ascii="Baskerville Old Face" w:hAnsi="Baskerville Old Face"/>
          <w:sz w:val="24"/>
          <w:szCs w:val="24"/>
        </w:rPr>
        <w:t>8</w:t>
      </w:r>
      <w:r w:rsidR="00C12390" w:rsidRPr="00192227">
        <w:rPr>
          <w:rFonts w:ascii="Baskerville Old Face" w:hAnsi="Baskerville Old Face"/>
          <w:sz w:val="24"/>
          <w:szCs w:val="24"/>
        </w:rPr>
        <w:t xml:space="preserve"> provides a summary of </w:t>
      </w:r>
      <w:r w:rsidRPr="00192227">
        <w:rPr>
          <w:rFonts w:ascii="Baskerville Old Face" w:hAnsi="Baskerville Old Face"/>
          <w:sz w:val="24"/>
          <w:szCs w:val="24"/>
        </w:rPr>
        <w:t xml:space="preserve">both direct </w:t>
      </w:r>
      <w:r w:rsidR="00C12390" w:rsidRPr="00192227">
        <w:rPr>
          <w:rFonts w:ascii="Baskerville Old Face" w:hAnsi="Baskerville Old Face"/>
          <w:sz w:val="24"/>
          <w:szCs w:val="24"/>
        </w:rPr>
        <w:t xml:space="preserve">agricultural education program </w:t>
      </w:r>
      <w:r w:rsidRPr="00192227">
        <w:rPr>
          <w:rFonts w:ascii="Baskerville Old Face" w:hAnsi="Baskerville Old Face"/>
          <w:sz w:val="24"/>
          <w:szCs w:val="24"/>
        </w:rPr>
        <w:t xml:space="preserve">investment </w:t>
      </w:r>
      <w:r w:rsidR="00C12390" w:rsidRPr="00192227">
        <w:rPr>
          <w:rFonts w:ascii="Baskerville Old Face" w:hAnsi="Baskerville Old Face"/>
          <w:sz w:val="24"/>
          <w:szCs w:val="24"/>
        </w:rPr>
        <w:t xml:space="preserve">values </w:t>
      </w:r>
      <w:r w:rsidRPr="00192227">
        <w:rPr>
          <w:rFonts w:ascii="Baskerville Old Face" w:hAnsi="Baskerville Old Face"/>
          <w:sz w:val="24"/>
          <w:szCs w:val="24"/>
        </w:rPr>
        <w:t xml:space="preserve">and related </w:t>
      </w:r>
      <w:r w:rsidR="00AB5791">
        <w:rPr>
          <w:rFonts w:ascii="Baskerville Old Face" w:hAnsi="Baskerville Old Face"/>
          <w:sz w:val="24"/>
          <w:szCs w:val="24"/>
        </w:rPr>
        <w:t xml:space="preserve">local </w:t>
      </w:r>
      <w:r w:rsidRPr="00192227">
        <w:rPr>
          <w:rFonts w:ascii="Baskerville Old Face" w:hAnsi="Baskerville Old Face"/>
          <w:sz w:val="24"/>
          <w:szCs w:val="24"/>
        </w:rPr>
        <w:t xml:space="preserve">economic impact values </w:t>
      </w:r>
      <w:r w:rsidR="00C12390" w:rsidRPr="00192227">
        <w:rPr>
          <w:rFonts w:ascii="Baskerville Old Face" w:hAnsi="Baskerville Old Face"/>
          <w:sz w:val="24"/>
          <w:szCs w:val="24"/>
        </w:rPr>
        <w:t>(direct spending and economic value).</w:t>
      </w:r>
    </w:p>
    <w:p w14:paraId="5D21797E" w14:textId="77777777" w:rsidR="00C12390" w:rsidRPr="00192227" w:rsidRDefault="00C12390" w:rsidP="00192227">
      <w:pPr>
        <w:pStyle w:val="BodyText"/>
        <w:spacing w:after="0"/>
        <w:rPr>
          <w:rFonts w:ascii="Baskerville Old Face" w:hAnsi="Baskerville Old Face"/>
          <w:sz w:val="24"/>
          <w:szCs w:val="24"/>
        </w:rPr>
      </w:pPr>
    </w:p>
    <w:p w14:paraId="56FA9978" w14:textId="47B16A17" w:rsidR="00C12390" w:rsidRPr="00192227" w:rsidRDefault="00C12390" w:rsidP="00192227">
      <w:pPr>
        <w:pStyle w:val="BodyText"/>
        <w:spacing w:after="0"/>
        <w:rPr>
          <w:rFonts w:ascii="Baskerville Old Face" w:hAnsi="Baskerville Old Face"/>
          <w:sz w:val="24"/>
          <w:szCs w:val="24"/>
        </w:rPr>
      </w:pPr>
      <w:r w:rsidRPr="00192227">
        <w:rPr>
          <w:rFonts w:ascii="Baskerville Old Face" w:hAnsi="Baskerville Old Face"/>
          <w:sz w:val="24"/>
          <w:szCs w:val="24"/>
        </w:rPr>
        <w:t xml:space="preserve">Table </w:t>
      </w:r>
      <w:r w:rsidR="00685D8F">
        <w:rPr>
          <w:rFonts w:ascii="Baskerville Old Face" w:hAnsi="Baskerville Old Face"/>
          <w:sz w:val="24"/>
          <w:szCs w:val="24"/>
        </w:rPr>
        <w:t>8</w:t>
      </w:r>
      <w:r w:rsidRPr="00192227">
        <w:rPr>
          <w:rFonts w:ascii="Baskerville Old Face" w:hAnsi="Baskerville Old Face"/>
          <w:sz w:val="24"/>
          <w:szCs w:val="24"/>
        </w:rPr>
        <w:t xml:space="preserve"> Direct Investments and Economic Impact Values from SAE Engagement (n=4,</w:t>
      </w:r>
      <w:r w:rsidR="00685D8F">
        <w:rPr>
          <w:rFonts w:ascii="Baskerville Old Face" w:hAnsi="Baskerville Old Face"/>
          <w:sz w:val="24"/>
          <w:szCs w:val="24"/>
        </w:rPr>
        <w:t>4</w:t>
      </w:r>
      <w:r w:rsidR="004A541E" w:rsidRPr="00192227">
        <w:rPr>
          <w:rFonts w:ascii="Baskerville Old Face" w:hAnsi="Baskerville Old Face"/>
          <w:sz w:val="24"/>
          <w:szCs w:val="24"/>
        </w:rPr>
        <w:t>32</w:t>
      </w:r>
      <w:r w:rsidRPr="00192227">
        <w:rPr>
          <w:rFonts w:ascii="Baskerville Old Face" w:hAnsi="Baskerville Old Face"/>
          <w:sz w:val="24"/>
          <w:szCs w:val="24"/>
        </w:rPr>
        <w:t>)</w:t>
      </w:r>
    </w:p>
    <w:tbl>
      <w:tblPr>
        <w:tblW w:w="10152" w:type="dxa"/>
        <w:tblInd w:w="108" w:type="dxa"/>
        <w:tblLayout w:type="fixed"/>
        <w:tblLook w:val="04A0" w:firstRow="1" w:lastRow="0" w:firstColumn="1" w:lastColumn="0" w:noHBand="0" w:noVBand="1"/>
      </w:tblPr>
      <w:tblGrid>
        <w:gridCol w:w="3492"/>
        <w:gridCol w:w="3702"/>
        <w:gridCol w:w="2958"/>
      </w:tblGrid>
      <w:tr w:rsidR="00C12390" w:rsidRPr="00192227" w14:paraId="69FF05FF" w14:textId="77777777" w:rsidTr="002B0B65">
        <w:trPr>
          <w:trHeight w:val="926"/>
        </w:trPr>
        <w:tc>
          <w:tcPr>
            <w:tcW w:w="3492" w:type="dxa"/>
            <w:tcBorders>
              <w:top w:val="single" w:sz="4" w:space="0" w:color="auto"/>
              <w:left w:val="nil"/>
              <w:bottom w:val="single" w:sz="8" w:space="0" w:color="auto"/>
              <w:right w:val="nil"/>
            </w:tcBorders>
            <w:shd w:val="clear" w:color="auto" w:fill="auto"/>
            <w:vAlign w:val="center"/>
            <w:hideMark/>
          </w:tcPr>
          <w:p w14:paraId="66DE6FE7" w14:textId="77777777" w:rsidR="00C12390" w:rsidRPr="00192227" w:rsidRDefault="00C12390" w:rsidP="00192227">
            <w:pPr>
              <w:rPr>
                <w:rFonts w:asciiTheme="minorHAnsi" w:eastAsia="Times New Roman" w:hAnsiTheme="minorHAnsi"/>
                <w:color w:val="000000"/>
              </w:rPr>
            </w:pPr>
            <w:r w:rsidRPr="00192227">
              <w:rPr>
                <w:rFonts w:asciiTheme="minorHAnsi" w:eastAsia="Times New Roman" w:hAnsiTheme="minorHAnsi"/>
                <w:color w:val="000000"/>
              </w:rPr>
              <w:t>Area of Economic Activities (SAE Investments)</w:t>
            </w:r>
          </w:p>
        </w:tc>
        <w:tc>
          <w:tcPr>
            <w:tcW w:w="3702" w:type="dxa"/>
            <w:tcBorders>
              <w:top w:val="single" w:sz="4" w:space="0" w:color="auto"/>
              <w:left w:val="nil"/>
              <w:bottom w:val="single" w:sz="8" w:space="0" w:color="auto"/>
              <w:right w:val="nil"/>
            </w:tcBorders>
            <w:shd w:val="clear" w:color="auto" w:fill="auto"/>
            <w:vAlign w:val="center"/>
            <w:hideMark/>
          </w:tcPr>
          <w:p w14:paraId="7E77CC8D" w14:textId="77777777" w:rsidR="00C12390" w:rsidRPr="00192227" w:rsidRDefault="00C12390" w:rsidP="00192227">
            <w:pPr>
              <w:jc w:val="center"/>
              <w:rPr>
                <w:rFonts w:asciiTheme="minorHAnsi" w:eastAsia="Times New Roman" w:hAnsiTheme="minorHAnsi"/>
                <w:color w:val="000000"/>
              </w:rPr>
            </w:pPr>
            <w:r w:rsidRPr="00192227">
              <w:rPr>
                <w:rFonts w:asciiTheme="minorHAnsi" w:eastAsia="Times New Roman" w:hAnsiTheme="minorHAnsi"/>
                <w:color w:val="000000"/>
              </w:rPr>
              <w:t>Avg. Program Value Direct Spending</w:t>
            </w:r>
          </w:p>
          <w:p w14:paraId="54EF430B" w14:textId="77777777" w:rsidR="00C12390" w:rsidRPr="00192227" w:rsidRDefault="00C12390" w:rsidP="00192227">
            <w:pPr>
              <w:jc w:val="center"/>
              <w:rPr>
                <w:rFonts w:asciiTheme="minorHAnsi" w:eastAsia="Times New Roman" w:hAnsiTheme="minorHAnsi"/>
                <w:color w:val="000000"/>
              </w:rPr>
            </w:pPr>
            <w:r w:rsidRPr="00192227">
              <w:rPr>
                <w:rFonts w:asciiTheme="minorHAnsi" w:eastAsia="Times New Roman" w:hAnsiTheme="minorHAnsi"/>
                <w:color w:val="000000"/>
              </w:rPr>
              <w:t>(Per Program)</w:t>
            </w:r>
          </w:p>
        </w:tc>
        <w:tc>
          <w:tcPr>
            <w:tcW w:w="2958" w:type="dxa"/>
            <w:tcBorders>
              <w:top w:val="single" w:sz="4" w:space="0" w:color="auto"/>
              <w:left w:val="nil"/>
              <w:bottom w:val="single" w:sz="8" w:space="0" w:color="auto"/>
              <w:right w:val="nil"/>
            </w:tcBorders>
            <w:vAlign w:val="center"/>
          </w:tcPr>
          <w:p w14:paraId="79EBE6B7" w14:textId="77777777" w:rsidR="00C12390" w:rsidRPr="00192227" w:rsidRDefault="00C12390" w:rsidP="00192227">
            <w:pPr>
              <w:jc w:val="center"/>
              <w:rPr>
                <w:rFonts w:asciiTheme="minorHAnsi" w:eastAsia="Times New Roman" w:hAnsiTheme="minorHAnsi"/>
                <w:color w:val="000000"/>
              </w:rPr>
            </w:pPr>
            <w:r w:rsidRPr="00192227">
              <w:rPr>
                <w:rFonts w:asciiTheme="minorHAnsi" w:eastAsia="Times New Roman" w:hAnsiTheme="minorHAnsi"/>
                <w:color w:val="000000"/>
              </w:rPr>
              <w:t>Avg. Program Economic Value</w:t>
            </w:r>
            <w:r w:rsidRPr="00192227">
              <w:rPr>
                <w:rFonts w:asciiTheme="minorHAnsi" w:eastAsia="Times New Roman" w:hAnsiTheme="minorHAnsi"/>
                <w:color w:val="000000"/>
                <w:vertAlign w:val="superscript"/>
              </w:rPr>
              <w:t>1</w:t>
            </w:r>
            <w:r w:rsidRPr="00192227">
              <w:rPr>
                <w:rFonts w:asciiTheme="minorHAnsi" w:eastAsia="Times New Roman" w:hAnsiTheme="minorHAnsi"/>
                <w:color w:val="000000"/>
              </w:rPr>
              <w:t xml:space="preserve"> (IMPLAN 1.90, Type II)</w:t>
            </w:r>
          </w:p>
        </w:tc>
      </w:tr>
      <w:tr w:rsidR="00685D8F" w:rsidRPr="00192227" w14:paraId="4538C96F" w14:textId="77777777" w:rsidTr="002B0B65">
        <w:trPr>
          <w:trHeight w:val="320"/>
        </w:trPr>
        <w:tc>
          <w:tcPr>
            <w:tcW w:w="3492" w:type="dxa"/>
            <w:tcBorders>
              <w:top w:val="single" w:sz="8" w:space="0" w:color="auto"/>
              <w:left w:val="nil"/>
              <w:bottom w:val="nil"/>
              <w:right w:val="nil"/>
            </w:tcBorders>
            <w:shd w:val="clear" w:color="auto" w:fill="auto"/>
            <w:noWrap/>
            <w:vAlign w:val="center"/>
            <w:hideMark/>
          </w:tcPr>
          <w:p w14:paraId="7795E9DD" w14:textId="77777777" w:rsidR="00685D8F" w:rsidRPr="00192227" w:rsidRDefault="00685D8F" w:rsidP="00685D8F">
            <w:pPr>
              <w:rPr>
                <w:rFonts w:asciiTheme="minorHAnsi" w:eastAsia="Times New Roman" w:hAnsiTheme="minorHAnsi"/>
                <w:color w:val="000000"/>
              </w:rPr>
            </w:pPr>
            <w:r w:rsidRPr="00192227">
              <w:rPr>
                <w:rFonts w:asciiTheme="minorHAnsi" w:eastAsia="Times New Roman" w:hAnsiTheme="minorHAnsi"/>
                <w:color w:val="000000"/>
              </w:rPr>
              <w:t>Total Operating SAE Expenses</w:t>
            </w:r>
          </w:p>
        </w:tc>
        <w:tc>
          <w:tcPr>
            <w:tcW w:w="3702" w:type="dxa"/>
            <w:tcBorders>
              <w:top w:val="nil"/>
              <w:left w:val="nil"/>
              <w:bottom w:val="nil"/>
              <w:right w:val="nil"/>
            </w:tcBorders>
            <w:shd w:val="clear" w:color="auto" w:fill="auto"/>
            <w:noWrap/>
            <w:hideMark/>
          </w:tcPr>
          <w:p w14:paraId="4D39C882" w14:textId="04CCC8E8"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 xml:space="preserve"> $21,857 </w:t>
            </w:r>
          </w:p>
        </w:tc>
        <w:tc>
          <w:tcPr>
            <w:tcW w:w="2958" w:type="dxa"/>
            <w:tcBorders>
              <w:top w:val="nil"/>
              <w:left w:val="nil"/>
              <w:bottom w:val="nil"/>
              <w:right w:val="nil"/>
            </w:tcBorders>
          </w:tcPr>
          <w:p w14:paraId="3CCDFB91" w14:textId="3401A176"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 xml:space="preserve"> $41,528 </w:t>
            </w:r>
          </w:p>
        </w:tc>
      </w:tr>
      <w:tr w:rsidR="00685D8F" w:rsidRPr="00192227" w14:paraId="18787F9E" w14:textId="77777777" w:rsidTr="002B0B65">
        <w:trPr>
          <w:trHeight w:val="340"/>
        </w:trPr>
        <w:tc>
          <w:tcPr>
            <w:tcW w:w="3492" w:type="dxa"/>
            <w:tcBorders>
              <w:top w:val="nil"/>
              <w:left w:val="nil"/>
              <w:bottom w:val="single" w:sz="8" w:space="0" w:color="auto"/>
              <w:right w:val="nil"/>
            </w:tcBorders>
            <w:shd w:val="clear" w:color="auto" w:fill="auto"/>
            <w:noWrap/>
            <w:vAlign w:val="center"/>
            <w:hideMark/>
          </w:tcPr>
          <w:p w14:paraId="2E948669" w14:textId="77777777" w:rsidR="00685D8F" w:rsidRPr="00192227" w:rsidRDefault="00685D8F" w:rsidP="00685D8F">
            <w:pPr>
              <w:rPr>
                <w:rFonts w:asciiTheme="minorHAnsi" w:eastAsia="Times New Roman" w:hAnsiTheme="minorHAnsi"/>
                <w:color w:val="000000"/>
              </w:rPr>
            </w:pPr>
            <w:r w:rsidRPr="00192227">
              <w:rPr>
                <w:rFonts w:asciiTheme="minorHAnsi" w:eastAsia="Times New Roman" w:hAnsiTheme="minorHAnsi"/>
                <w:color w:val="000000"/>
              </w:rPr>
              <w:t>Non-Current Asset Purchases</w:t>
            </w:r>
          </w:p>
        </w:tc>
        <w:tc>
          <w:tcPr>
            <w:tcW w:w="3702" w:type="dxa"/>
            <w:tcBorders>
              <w:top w:val="nil"/>
              <w:left w:val="nil"/>
              <w:bottom w:val="single" w:sz="8" w:space="0" w:color="auto"/>
              <w:right w:val="nil"/>
            </w:tcBorders>
            <w:shd w:val="clear" w:color="auto" w:fill="auto"/>
            <w:noWrap/>
            <w:hideMark/>
          </w:tcPr>
          <w:p w14:paraId="12F530E1" w14:textId="21553350"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 xml:space="preserve"> $4,894 </w:t>
            </w:r>
          </w:p>
        </w:tc>
        <w:tc>
          <w:tcPr>
            <w:tcW w:w="2958" w:type="dxa"/>
            <w:tcBorders>
              <w:top w:val="nil"/>
              <w:left w:val="nil"/>
              <w:bottom w:val="single" w:sz="8" w:space="0" w:color="auto"/>
              <w:right w:val="nil"/>
            </w:tcBorders>
          </w:tcPr>
          <w:p w14:paraId="6360ED32" w14:textId="402F537D"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 xml:space="preserve"> $9,299 </w:t>
            </w:r>
          </w:p>
        </w:tc>
      </w:tr>
      <w:tr w:rsidR="00685D8F" w:rsidRPr="00192227" w14:paraId="55440478" w14:textId="77777777" w:rsidTr="002B0B65">
        <w:trPr>
          <w:trHeight w:val="340"/>
        </w:trPr>
        <w:tc>
          <w:tcPr>
            <w:tcW w:w="3492" w:type="dxa"/>
            <w:tcBorders>
              <w:top w:val="single" w:sz="8" w:space="0" w:color="auto"/>
              <w:left w:val="nil"/>
              <w:bottom w:val="single" w:sz="8" w:space="0" w:color="auto"/>
              <w:right w:val="nil"/>
            </w:tcBorders>
            <w:shd w:val="clear" w:color="auto" w:fill="auto"/>
            <w:noWrap/>
            <w:vAlign w:val="center"/>
            <w:hideMark/>
          </w:tcPr>
          <w:p w14:paraId="61C48BD1" w14:textId="77777777" w:rsidR="00685D8F" w:rsidRPr="00192227" w:rsidRDefault="00685D8F" w:rsidP="00685D8F">
            <w:pPr>
              <w:jc w:val="right"/>
              <w:rPr>
                <w:rFonts w:asciiTheme="minorHAnsi" w:eastAsia="Times New Roman" w:hAnsiTheme="minorHAnsi"/>
                <w:color w:val="000000"/>
              </w:rPr>
            </w:pPr>
            <w:r w:rsidRPr="00192227">
              <w:rPr>
                <w:rFonts w:asciiTheme="minorHAnsi" w:eastAsia="Times New Roman" w:hAnsiTheme="minorHAnsi"/>
                <w:color w:val="000000"/>
              </w:rPr>
              <w:t>Total Value</w:t>
            </w:r>
          </w:p>
        </w:tc>
        <w:tc>
          <w:tcPr>
            <w:tcW w:w="3702" w:type="dxa"/>
            <w:tcBorders>
              <w:top w:val="nil"/>
              <w:left w:val="nil"/>
              <w:bottom w:val="single" w:sz="8" w:space="0" w:color="auto"/>
              <w:right w:val="nil"/>
            </w:tcBorders>
            <w:shd w:val="clear" w:color="auto" w:fill="auto"/>
            <w:noWrap/>
            <w:hideMark/>
          </w:tcPr>
          <w:p w14:paraId="4C34AC56" w14:textId="6A055EEF"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 xml:space="preserve"> $26,751 </w:t>
            </w:r>
          </w:p>
        </w:tc>
        <w:tc>
          <w:tcPr>
            <w:tcW w:w="2958" w:type="dxa"/>
            <w:tcBorders>
              <w:top w:val="nil"/>
              <w:left w:val="nil"/>
              <w:bottom w:val="single" w:sz="8" w:space="0" w:color="auto"/>
              <w:right w:val="nil"/>
            </w:tcBorders>
          </w:tcPr>
          <w:p w14:paraId="1BC45029" w14:textId="0FDA2B53" w:rsidR="00685D8F" w:rsidRPr="00685D8F" w:rsidRDefault="00685D8F" w:rsidP="00685D8F">
            <w:pPr>
              <w:jc w:val="center"/>
              <w:rPr>
                <w:rFonts w:asciiTheme="minorHAnsi" w:eastAsia="Times New Roman" w:hAnsiTheme="minorHAnsi"/>
                <w:color w:val="000000"/>
              </w:rPr>
            </w:pPr>
            <w:r w:rsidRPr="00685D8F">
              <w:rPr>
                <w:rFonts w:asciiTheme="minorHAnsi" w:hAnsiTheme="minorHAnsi"/>
              </w:rPr>
              <w:t xml:space="preserve"> $50,827 </w:t>
            </w:r>
          </w:p>
        </w:tc>
      </w:tr>
    </w:tbl>
    <w:p w14:paraId="01A1ED8B" w14:textId="2D6C45B0" w:rsidR="00C12390" w:rsidRPr="00192227" w:rsidRDefault="00C12390" w:rsidP="00192227">
      <w:pPr>
        <w:pStyle w:val="BodyText"/>
        <w:spacing w:after="0"/>
        <w:rPr>
          <w:rFonts w:ascii="Baskerville Old Face" w:hAnsi="Baskerville Old Face"/>
          <w:sz w:val="24"/>
          <w:szCs w:val="24"/>
        </w:rPr>
      </w:pPr>
      <w:r w:rsidRPr="00192227">
        <w:rPr>
          <w:rFonts w:ascii="Baskerville Old Face" w:hAnsi="Baskerville Old Face"/>
          <w:sz w:val="18"/>
          <w:szCs w:val="18"/>
        </w:rPr>
        <w:t>1 – IMPLAN Model values represent direct, induced and indirect economic values derived from spending</w:t>
      </w:r>
    </w:p>
    <w:p w14:paraId="1957BD28" w14:textId="4D31A124" w:rsidR="004A541E" w:rsidRPr="00192227" w:rsidRDefault="004A541E" w:rsidP="00192227">
      <w:pPr>
        <w:spacing w:line="300" w:lineRule="auto"/>
        <w:rPr>
          <w:rFonts w:ascii="Baskerville Old Face" w:hAnsi="Baskerville Old Face"/>
        </w:rPr>
      </w:pPr>
      <w:r w:rsidRPr="00192227">
        <w:rPr>
          <w:rFonts w:ascii="Baskerville Old Face" w:hAnsi="Baskerville Old Face"/>
        </w:rPr>
        <w:lastRenderedPageBreak/>
        <w:t xml:space="preserve">As illustrated in Table </w:t>
      </w:r>
      <w:r w:rsidR="00685D8F">
        <w:rPr>
          <w:rFonts w:ascii="Baskerville Old Face" w:hAnsi="Baskerville Old Face"/>
        </w:rPr>
        <w:t>8</w:t>
      </w:r>
      <w:r w:rsidRPr="00192227">
        <w:rPr>
          <w:rFonts w:ascii="Baskerville Old Face" w:hAnsi="Baskerville Old Face"/>
        </w:rPr>
        <w:t>, an average agricultural education program encourages SAE investment of $</w:t>
      </w:r>
      <w:r w:rsidR="00685D8F">
        <w:rPr>
          <w:rFonts w:ascii="Baskerville Old Face" w:hAnsi="Baskerville Old Face"/>
        </w:rPr>
        <w:t>26,751</w:t>
      </w:r>
      <w:r w:rsidRPr="00192227">
        <w:rPr>
          <w:rFonts w:ascii="Baskerville Old Face" w:hAnsi="Baskerville Old Face"/>
        </w:rPr>
        <w:t>.  In terms of economic impact, these programs are likely developing $</w:t>
      </w:r>
      <w:r w:rsidR="00AB5791">
        <w:rPr>
          <w:rFonts w:ascii="Baskerville Old Face" w:hAnsi="Baskerville Old Face"/>
        </w:rPr>
        <w:t>50</w:t>
      </w:r>
      <w:r w:rsidRPr="00192227">
        <w:rPr>
          <w:rFonts w:ascii="Baskerville Old Face" w:hAnsi="Baskerville Old Face"/>
        </w:rPr>
        <w:t>,</w:t>
      </w:r>
      <w:r w:rsidR="00AB5791">
        <w:rPr>
          <w:rFonts w:ascii="Baskerville Old Face" w:hAnsi="Baskerville Old Face"/>
        </w:rPr>
        <w:t>827</w:t>
      </w:r>
      <w:r w:rsidRPr="00192227">
        <w:rPr>
          <w:rFonts w:ascii="Baskerville Old Face" w:hAnsi="Baskerville Old Face"/>
        </w:rPr>
        <w:t xml:space="preserve"> in total economic impact that support</w:t>
      </w:r>
      <w:r w:rsidR="00EF4598" w:rsidRPr="00192227">
        <w:rPr>
          <w:rFonts w:ascii="Baskerville Old Face" w:hAnsi="Baskerville Old Face"/>
        </w:rPr>
        <w:t>s</w:t>
      </w:r>
      <w:r w:rsidRPr="00192227">
        <w:rPr>
          <w:rFonts w:ascii="Baskerville Old Face" w:hAnsi="Baskerville Old Face"/>
        </w:rPr>
        <w:t xml:space="preserve"> all </w:t>
      </w:r>
      <w:r w:rsidR="00AB5791">
        <w:rPr>
          <w:rFonts w:ascii="Baskerville Old Face" w:hAnsi="Baskerville Old Face"/>
        </w:rPr>
        <w:t>business sectors</w:t>
      </w:r>
      <w:r w:rsidRPr="00192227">
        <w:rPr>
          <w:rFonts w:ascii="Baskerville Old Face" w:hAnsi="Baskerville Old Face"/>
        </w:rPr>
        <w:t xml:space="preserve"> of the region.  </w:t>
      </w:r>
    </w:p>
    <w:p w14:paraId="064605A9" w14:textId="77777777" w:rsidR="00AB5791" w:rsidRDefault="00AB5791" w:rsidP="00192227">
      <w:pPr>
        <w:spacing w:line="300" w:lineRule="auto"/>
        <w:rPr>
          <w:rFonts w:ascii="Baskerville Old Face" w:hAnsi="Baskerville Old Face"/>
        </w:rPr>
      </w:pPr>
    </w:p>
    <w:p w14:paraId="040A9AFD" w14:textId="3EA355E9" w:rsidR="003C62A3" w:rsidRPr="00192227" w:rsidRDefault="003C62A3" w:rsidP="00192227">
      <w:pPr>
        <w:spacing w:line="300" w:lineRule="auto"/>
        <w:rPr>
          <w:rFonts w:ascii="Baskerville Old Face" w:hAnsi="Baskerville Old Face"/>
        </w:rPr>
      </w:pPr>
      <w:r w:rsidRPr="00192227">
        <w:rPr>
          <w:rFonts w:ascii="Baskerville Old Face" w:hAnsi="Baskerville Old Face"/>
        </w:rPr>
        <w:t xml:space="preserve">Economic values from agricultural </w:t>
      </w:r>
      <w:r w:rsidRPr="00192227">
        <w:rPr>
          <w:rFonts w:ascii="Baskerville Old Face" w:hAnsi="Baskerville Old Face"/>
          <w:color w:val="000000" w:themeColor="text1"/>
        </w:rPr>
        <w:t>education programs</w:t>
      </w:r>
      <w:r w:rsidR="000F36CE" w:rsidRPr="00192227">
        <w:rPr>
          <w:rFonts w:ascii="Baskerville Old Face" w:hAnsi="Baskerville Old Face"/>
          <w:color w:val="000000" w:themeColor="text1"/>
        </w:rPr>
        <w:t xml:space="preserve"> (FFA </w:t>
      </w:r>
      <w:r w:rsidR="001113E5" w:rsidRPr="00192227">
        <w:rPr>
          <w:rFonts w:ascii="Baskerville Old Face" w:hAnsi="Baskerville Old Face"/>
          <w:color w:val="000000" w:themeColor="text1"/>
        </w:rPr>
        <w:t>c</w:t>
      </w:r>
      <w:r w:rsidR="000F36CE" w:rsidRPr="00192227">
        <w:rPr>
          <w:rFonts w:ascii="Baskerville Old Face" w:hAnsi="Baskerville Old Face"/>
          <w:color w:val="000000" w:themeColor="text1"/>
        </w:rPr>
        <w:t>hapters)</w:t>
      </w:r>
      <w:r w:rsidRPr="00192227">
        <w:rPr>
          <w:rFonts w:ascii="Baskerville Old Face" w:hAnsi="Baskerville Old Face"/>
          <w:color w:val="000000" w:themeColor="text1"/>
        </w:rPr>
        <w:t xml:space="preserve"> with SAE activities define</w:t>
      </w:r>
      <w:r w:rsidR="00B062D6" w:rsidRPr="00192227">
        <w:rPr>
          <w:rFonts w:ascii="Baskerville Old Face" w:hAnsi="Baskerville Old Face"/>
          <w:color w:val="000000" w:themeColor="text1"/>
        </w:rPr>
        <w:t>s</w:t>
      </w:r>
      <w:r w:rsidRPr="00192227">
        <w:rPr>
          <w:rFonts w:ascii="Baskerville Old Face" w:hAnsi="Baskerville Old Face"/>
          <w:color w:val="000000" w:themeColor="text1"/>
        </w:rPr>
        <w:t xml:space="preserve"> </w:t>
      </w:r>
      <w:r w:rsidR="00096E05" w:rsidRPr="00192227">
        <w:rPr>
          <w:rFonts w:ascii="Baskerville Old Face" w:hAnsi="Baskerville Old Face"/>
          <w:color w:val="000000" w:themeColor="text1"/>
        </w:rPr>
        <w:t xml:space="preserve">not only local values but </w:t>
      </w:r>
      <w:r w:rsidR="00AB5791">
        <w:rPr>
          <w:rFonts w:ascii="Baskerville Old Face" w:hAnsi="Baskerville Old Face"/>
          <w:color w:val="000000" w:themeColor="text1"/>
        </w:rPr>
        <w:t xml:space="preserve">are </w:t>
      </w:r>
      <w:r w:rsidR="00096E05" w:rsidRPr="00192227">
        <w:rPr>
          <w:rFonts w:ascii="Baskerville Old Face" w:hAnsi="Baskerville Old Face"/>
          <w:color w:val="000000" w:themeColor="text1"/>
        </w:rPr>
        <w:t xml:space="preserve">also </w:t>
      </w:r>
      <w:r w:rsidRPr="00192227">
        <w:rPr>
          <w:rFonts w:ascii="Baskerville Old Face" w:hAnsi="Baskerville Old Face"/>
          <w:color w:val="000000" w:themeColor="text1"/>
        </w:rPr>
        <w:t>national value</w:t>
      </w:r>
      <w:r w:rsidR="00096E05" w:rsidRPr="00192227">
        <w:rPr>
          <w:rFonts w:ascii="Baskerville Old Face" w:hAnsi="Baskerville Old Face"/>
          <w:color w:val="000000" w:themeColor="text1"/>
        </w:rPr>
        <w:t>s</w:t>
      </w:r>
      <w:r w:rsidRPr="00192227">
        <w:rPr>
          <w:rFonts w:ascii="Baskerville Old Face" w:hAnsi="Baskerville Old Face"/>
          <w:color w:val="000000" w:themeColor="text1"/>
        </w:rPr>
        <w:t>.</w:t>
      </w:r>
      <w:r w:rsidR="00390497" w:rsidRPr="00192227">
        <w:rPr>
          <w:rFonts w:ascii="Baskerville Old Face" w:hAnsi="Baskerville Old Face"/>
          <w:color w:val="000000" w:themeColor="text1"/>
        </w:rPr>
        <w:t xml:space="preserve"> </w:t>
      </w:r>
      <w:r w:rsidRPr="00192227">
        <w:rPr>
          <w:rFonts w:ascii="Baskerville Old Face" w:hAnsi="Baskerville Old Face"/>
          <w:color w:val="000000" w:themeColor="text1"/>
        </w:rPr>
        <w:t xml:space="preserve"> </w:t>
      </w:r>
      <w:r w:rsidR="009567FA" w:rsidRPr="00192227">
        <w:rPr>
          <w:rFonts w:ascii="Baskerville Old Face" w:hAnsi="Baskerville Old Face"/>
          <w:color w:val="000000" w:themeColor="text1"/>
        </w:rPr>
        <w:t xml:space="preserve">Table </w:t>
      </w:r>
      <w:r w:rsidR="00AB5791">
        <w:rPr>
          <w:rFonts w:ascii="Baskerville Old Face" w:hAnsi="Baskerville Old Face"/>
          <w:color w:val="000000" w:themeColor="text1"/>
        </w:rPr>
        <w:t>9</w:t>
      </w:r>
      <w:r w:rsidR="009567FA" w:rsidRPr="00192227">
        <w:rPr>
          <w:rFonts w:ascii="Baskerville Old Face" w:hAnsi="Baskerville Old Face"/>
          <w:color w:val="000000" w:themeColor="text1"/>
        </w:rPr>
        <w:t xml:space="preserve"> defines </w:t>
      </w:r>
      <w:r w:rsidR="009567FA" w:rsidRPr="00192227">
        <w:rPr>
          <w:rFonts w:ascii="Baskerville Old Face" w:hAnsi="Baskerville Old Face"/>
        </w:rPr>
        <w:t xml:space="preserve">the national economic </w:t>
      </w:r>
      <w:r w:rsidR="00682ED6" w:rsidRPr="00192227">
        <w:rPr>
          <w:rFonts w:ascii="Baskerville Old Face" w:hAnsi="Baskerville Old Face"/>
        </w:rPr>
        <w:t xml:space="preserve">impact </w:t>
      </w:r>
      <w:r w:rsidR="009567FA" w:rsidRPr="00192227">
        <w:rPr>
          <w:rFonts w:ascii="Baskerville Old Face" w:hAnsi="Baskerville Old Face"/>
        </w:rPr>
        <w:t>value</w:t>
      </w:r>
      <w:r w:rsidR="00682ED6" w:rsidRPr="00192227">
        <w:rPr>
          <w:rFonts w:ascii="Baskerville Old Face" w:hAnsi="Baskerville Old Face"/>
        </w:rPr>
        <w:t xml:space="preserve"> from SAE engagement</w:t>
      </w:r>
      <w:r w:rsidR="009567FA" w:rsidRPr="00192227">
        <w:rPr>
          <w:rFonts w:ascii="Baskerville Old Face" w:hAnsi="Baskerville Old Face"/>
        </w:rPr>
        <w:t>.</w:t>
      </w:r>
    </w:p>
    <w:p w14:paraId="284FA725" w14:textId="77777777" w:rsidR="0081700F" w:rsidRPr="00192227" w:rsidRDefault="0081700F" w:rsidP="00192227">
      <w:pPr>
        <w:pStyle w:val="BodyText"/>
        <w:spacing w:after="0"/>
        <w:rPr>
          <w:rFonts w:ascii="Baskerville Old Face" w:hAnsi="Baskerville Old Face"/>
          <w:sz w:val="24"/>
          <w:szCs w:val="24"/>
        </w:rPr>
      </w:pPr>
    </w:p>
    <w:p w14:paraId="6BF0CA0C" w14:textId="307FF972" w:rsidR="0081700F" w:rsidRPr="00192227" w:rsidRDefault="0081700F" w:rsidP="00192227">
      <w:pPr>
        <w:pStyle w:val="BodyText"/>
        <w:spacing w:after="0"/>
        <w:rPr>
          <w:rFonts w:ascii="Baskerville Old Face" w:hAnsi="Baskerville Old Face"/>
          <w:sz w:val="24"/>
          <w:szCs w:val="24"/>
        </w:rPr>
      </w:pPr>
      <w:r w:rsidRPr="00192227">
        <w:rPr>
          <w:rFonts w:ascii="Baskerville Old Face" w:hAnsi="Baskerville Old Face"/>
          <w:sz w:val="24"/>
          <w:szCs w:val="24"/>
        </w:rPr>
        <w:t xml:space="preserve">Table </w:t>
      </w:r>
      <w:r w:rsidR="00AB5791">
        <w:rPr>
          <w:rFonts w:ascii="Baskerville Old Face" w:hAnsi="Baskerville Old Face"/>
          <w:sz w:val="24"/>
          <w:szCs w:val="24"/>
        </w:rPr>
        <w:t>9</w:t>
      </w:r>
      <w:r w:rsidRPr="00192227">
        <w:rPr>
          <w:rFonts w:ascii="Baskerville Old Face" w:hAnsi="Baskerville Old Face"/>
          <w:sz w:val="24"/>
          <w:szCs w:val="24"/>
        </w:rPr>
        <w:t xml:space="preserve"> National Direct Investments and Economic Impact Values from SAE Engagement (N=</w:t>
      </w:r>
      <w:r w:rsidR="00565105" w:rsidRPr="00192227">
        <w:rPr>
          <w:rFonts w:ascii="Baskerville Old Face" w:hAnsi="Baskerville Old Face"/>
          <w:sz w:val="24"/>
          <w:szCs w:val="24"/>
        </w:rPr>
        <w:t>8,</w:t>
      </w:r>
      <w:r w:rsidR="00AB5791">
        <w:rPr>
          <w:rFonts w:ascii="Baskerville Old Face" w:hAnsi="Baskerville Old Face"/>
          <w:sz w:val="24"/>
          <w:szCs w:val="24"/>
        </w:rPr>
        <w:t>739</w:t>
      </w:r>
      <w:r w:rsidRPr="00192227">
        <w:rPr>
          <w:rFonts w:ascii="Baskerville Old Face" w:hAnsi="Baskerville Old Face"/>
          <w:sz w:val="24"/>
          <w:szCs w:val="24"/>
        </w:rPr>
        <w:t>)</w:t>
      </w:r>
    </w:p>
    <w:tbl>
      <w:tblPr>
        <w:tblW w:w="10152" w:type="dxa"/>
        <w:tblInd w:w="108" w:type="dxa"/>
        <w:tblLayout w:type="fixed"/>
        <w:tblLook w:val="04A0" w:firstRow="1" w:lastRow="0" w:firstColumn="1" w:lastColumn="0" w:noHBand="0" w:noVBand="1"/>
      </w:tblPr>
      <w:tblGrid>
        <w:gridCol w:w="5292"/>
        <w:gridCol w:w="2070"/>
        <w:gridCol w:w="2790"/>
      </w:tblGrid>
      <w:tr w:rsidR="0081700F" w:rsidRPr="00192227" w14:paraId="25A8CF5C" w14:textId="77777777" w:rsidTr="00B77F38">
        <w:trPr>
          <w:trHeight w:val="926"/>
        </w:trPr>
        <w:tc>
          <w:tcPr>
            <w:tcW w:w="5292" w:type="dxa"/>
            <w:tcBorders>
              <w:top w:val="single" w:sz="4" w:space="0" w:color="auto"/>
              <w:left w:val="nil"/>
              <w:bottom w:val="single" w:sz="8" w:space="0" w:color="auto"/>
              <w:right w:val="nil"/>
            </w:tcBorders>
            <w:shd w:val="clear" w:color="auto" w:fill="auto"/>
            <w:vAlign w:val="center"/>
            <w:hideMark/>
          </w:tcPr>
          <w:p w14:paraId="0F84190F" w14:textId="77777777" w:rsidR="0081700F" w:rsidRPr="00192227" w:rsidRDefault="0081700F" w:rsidP="00192227">
            <w:pPr>
              <w:jc w:val="right"/>
              <w:rPr>
                <w:rFonts w:asciiTheme="minorHAnsi" w:eastAsia="Times New Roman" w:hAnsiTheme="minorHAnsi"/>
                <w:color w:val="000000"/>
              </w:rPr>
            </w:pPr>
            <w:r w:rsidRPr="00192227">
              <w:rPr>
                <w:rFonts w:asciiTheme="minorHAnsi" w:eastAsia="Times New Roman" w:hAnsiTheme="minorHAnsi"/>
                <w:color w:val="000000"/>
              </w:rPr>
              <w:t>Area of Economic Activities (SAE Investments)</w:t>
            </w:r>
          </w:p>
        </w:tc>
        <w:tc>
          <w:tcPr>
            <w:tcW w:w="2070" w:type="dxa"/>
            <w:tcBorders>
              <w:top w:val="single" w:sz="4" w:space="0" w:color="auto"/>
              <w:left w:val="nil"/>
              <w:bottom w:val="single" w:sz="8" w:space="0" w:color="auto"/>
              <w:right w:val="nil"/>
            </w:tcBorders>
            <w:shd w:val="clear" w:color="auto" w:fill="auto"/>
            <w:vAlign w:val="center"/>
            <w:hideMark/>
          </w:tcPr>
          <w:p w14:paraId="59C2211A" w14:textId="4ED123F5" w:rsidR="0081700F" w:rsidRPr="00192227" w:rsidRDefault="0081700F" w:rsidP="00192227">
            <w:pPr>
              <w:jc w:val="center"/>
              <w:rPr>
                <w:rFonts w:asciiTheme="minorHAnsi" w:eastAsia="Times New Roman" w:hAnsiTheme="minorHAnsi"/>
                <w:color w:val="000000"/>
              </w:rPr>
            </w:pPr>
            <w:r w:rsidRPr="00192227">
              <w:rPr>
                <w:rFonts w:asciiTheme="minorHAnsi" w:eastAsia="Times New Roman" w:hAnsiTheme="minorHAnsi"/>
                <w:color w:val="000000"/>
              </w:rPr>
              <w:t>National SAE Direct Spending</w:t>
            </w:r>
          </w:p>
          <w:p w14:paraId="077CB552" w14:textId="485D503C" w:rsidR="0081700F" w:rsidRPr="00192227" w:rsidRDefault="0081700F" w:rsidP="00192227">
            <w:pPr>
              <w:jc w:val="center"/>
              <w:rPr>
                <w:rFonts w:asciiTheme="minorHAnsi" w:eastAsia="Times New Roman" w:hAnsiTheme="minorHAnsi"/>
                <w:color w:val="000000"/>
              </w:rPr>
            </w:pPr>
          </w:p>
        </w:tc>
        <w:tc>
          <w:tcPr>
            <w:tcW w:w="2790" w:type="dxa"/>
            <w:tcBorders>
              <w:top w:val="single" w:sz="4" w:space="0" w:color="auto"/>
              <w:left w:val="nil"/>
              <w:bottom w:val="single" w:sz="8" w:space="0" w:color="auto"/>
              <w:right w:val="nil"/>
            </w:tcBorders>
            <w:vAlign w:val="center"/>
          </w:tcPr>
          <w:p w14:paraId="5644BA38" w14:textId="1612C13A" w:rsidR="0081700F" w:rsidRPr="00192227" w:rsidRDefault="0081700F" w:rsidP="00192227">
            <w:pPr>
              <w:jc w:val="center"/>
              <w:rPr>
                <w:rFonts w:asciiTheme="minorHAnsi" w:eastAsia="Times New Roman" w:hAnsiTheme="minorHAnsi"/>
                <w:color w:val="000000"/>
              </w:rPr>
            </w:pPr>
            <w:r w:rsidRPr="00192227">
              <w:rPr>
                <w:rFonts w:asciiTheme="minorHAnsi" w:eastAsia="Times New Roman" w:hAnsiTheme="minorHAnsi"/>
                <w:color w:val="000000"/>
              </w:rPr>
              <w:t>National Economic Value</w:t>
            </w:r>
            <w:r w:rsidRPr="00192227">
              <w:rPr>
                <w:rFonts w:asciiTheme="minorHAnsi" w:eastAsia="Times New Roman" w:hAnsiTheme="minorHAnsi"/>
                <w:color w:val="000000"/>
                <w:vertAlign w:val="superscript"/>
              </w:rPr>
              <w:t>1</w:t>
            </w:r>
            <w:r w:rsidRPr="00192227">
              <w:rPr>
                <w:rFonts w:asciiTheme="minorHAnsi" w:eastAsia="Times New Roman" w:hAnsiTheme="minorHAnsi"/>
                <w:color w:val="000000"/>
                <w:sz w:val="20"/>
                <w:szCs w:val="20"/>
              </w:rPr>
              <w:t xml:space="preserve"> (IMPLAN 1.90, Type II)</w:t>
            </w:r>
          </w:p>
        </w:tc>
      </w:tr>
      <w:tr w:rsidR="00AB5791" w:rsidRPr="00192227" w14:paraId="075FED04" w14:textId="77777777" w:rsidTr="00B77F38">
        <w:trPr>
          <w:trHeight w:val="320"/>
        </w:trPr>
        <w:tc>
          <w:tcPr>
            <w:tcW w:w="5292" w:type="dxa"/>
            <w:tcBorders>
              <w:top w:val="single" w:sz="8" w:space="0" w:color="auto"/>
              <w:left w:val="nil"/>
              <w:bottom w:val="nil"/>
              <w:right w:val="nil"/>
            </w:tcBorders>
            <w:shd w:val="clear" w:color="auto" w:fill="auto"/>
            <w:noWrap/>
            <w:vAlign w:val="center"/>
            <w:hideMark/>
          </w:tcPr>
          <w:p w14:paraId="5827CE2B" w14:textId="77777777" w:rsidR="00AB5791" w:rsidRPr="00192227" w:rsidRDefault="00AB5791" w:rsidP="00AB5791">
            <w:pPr>
              <w:jc w:val="right"/>
              <w:rPr>
                <w:rFonts w:asciiTheme="minorHAnsi" w:eastAsia="Times New Roman" w:hAnsiTheme="minorHAnsi"/>
                <w:color w:val="000000"/>
              </w:rPr>
            </w:pPr>
            <w:r w:rsidRPr="00192227">
              <w:rPr>
                <w:rFonts w:asciiTheme="minorHAnsi" w:eastAsia="Times New Roman" w:hAnsiTheme="minorHAnsi"/>
                <w:color w:val="000000"/>
              </w:rPr>
              <w:t>Total Operating SAE Expenses</w:t>
            </w:r>
          </w:p>
        </w:tc>
        <w:tc>
          <w:tcPr>
            <w:tcW w:w="2070" w:type="dxa"/>
            <w:tcBorders>
              <w:top w:val="nil"/>
              <w:left w:val="nil"/>
              <w:bottom w:val="nil"/>
              <w:right w:val="nil"/>
            </w:tcBorders>
            <w:shd w:val="clear" w:color="auto" w:fill="auto"/>
            <w:noWrap/>
            <w:hideMark/>
          </w:tcPr>
          <w:p w14:paraId="0A1D27FC" w14:textId="1DE5B7F6" w:rsidR="00AB5791" w:rsidRPr="00AB5791" w:rsidRDefault="00AB5791" w:rsidP="00AB5791">
            <w:pPr>
              <w:jc w:val="center"/>
              <w:rPr>
                <w:rFonts w:asciiTheme="minorHAnsi" w:eastAsia="Times New Roman" w:hAnsiTheme="minorHAnsi"/>
                <w:color w:val="000000"/>
              </w:rPr>
            </w:pPr>
            <w:r w:rsidRPr="00AB5791">
              <w:rPr>
                <w:rFonts w:asciiTheme="minorHAnsi" w:hAnsiTheme="minorHAnsi"/>
              </w:rPr>
              <w:t xml:space="preserve"> $191,008,366 </w:t>
            </w:r>
          </w:p>
        </w:tc>
        <w:tc>
          <w:tcPr>
            <w:tcW w:w="2790" w:type="dxa"/>
            <w:tcBorders>
              <w:top w:val="nil"/>
              <w:left w:val="nil"/>
              <w:bottom w:val="nil"/>
              <w:right w:val="nil"/>
            </w:tcBorders>
          </w:tcPr>
          <w:p w14:paraId="1B93924A" w14:textId="76811B89" w:rsidR="00AB5791" w:rsidRPr="00AB5791" w:rsidRDefault="00AB5791" w:rsidP="00AB5791">
            <w:pPr>
              <w:jc w:val="center"/>
              <w:rPr>
                <w:rFonts w:asciiTheme="minorHAnsi" w:eastAsia="Times New Roman" w:hAnsiTheme="minorHAnsi"/>
                <w:color w:val="000000"/>
              </w:rPr>
            </w:pPr>
            <w:r w:rsidRPr="00AB5791">
              <w:rPr>
                <w:rFonts w:asciiTheme="minorHAnsi" w:hAnsiTheme="minorHAnsi"/>
              </w:rPr>
              <w:t xml:space="preserve"> $362,915,896 </w:t>
            </w:r>
          </w:p>
        </w:tc>
      </w:tr>
      <w:tr w:rsidR="00AB5791" w:rsidRPr="00192227" w14:paraId="12367A36" w14:textId="77777777" w:rsidTr="00B77F38">
        <w:trPr>
          <w:trHeight w:val="340"/>
        </w:trPr>
        <w:tc>
          <w:tcPr>
            <w:tcW w:w="5292" w:type="dxa"/>
            <w:tcBorders>
              <w:top w:val="nil"/>
              <w:left w:val="nil"/>
              <w:bottom w:val="single" w:sz="8" w:space="0" w:color="auto"/>
              <w:right w:val="nil"/>
            </w:tcBorders>
            <w:shd w:val="clear" w:color="auto" w:fill="auto"/>
            <w:noWrap/>
            <w:vAlign w:val="center"/>
            <w:hideMark/>
          </w:tcPr>
          <w:p w14:paraId="0614548D" w14:textId="77777777" w:rsidR="00AB5791" w:rsidRPr="00192227" w:rsidRDefault="00AB5791" w:rsidP="00AB5791">
            <w:pPr>
              <w:jc w:val="right"/>
              <w:rPr>
                <w:rFonts w:asciiTheme="minorHAnsi" w:eastAsia="Times New Roman" w:hAnsiTheme="minorHAnsi"/>
                <w:color w:val="000000"/>
              </w:rPr>
            </w:pPr>
            <w:r w:rsidRPr="00192227">
              <w:rPr>
                <w:rFonts w:asciiTheme="minorHAnsi" w:eastAsia="Times New Roman" w:hAnsiTheme="minorHAnsi"/>
                <w:color w:val="000000"/>
              </w:rPr>
              <w:t>Non-Current Asset Purchases</w:t>
            </w:r>
          </w:p>
        </w:tc>
        <w:tc>
          <w:tcPr>
            <w:tcW w:w="2070" w:type="dxa"/>
            <w:tcBorders>
              <w:top w:val="nil"/>
              <w:left w:val="nil"/>
              <w:bottom w:val="single" w:sz="8" w:space="0" w:color="auto"/>
              <w:right w:val="nil"/>
            </w:tcBorders>
            <w:shd w:val="clear" w:color="auto" w:fill="auto"/>
            <w:noWrap/>
            <w:hideMark/>
          </w:tcPr>
          <w:p w14:paraId="54FC4B23" w14:textId="727237B8" w:rsidR="00AB5791" w:rsidRPr="00AB5791" w:rsidRDefault="00AB5791" w:rsidP="00AB5791">
            <w:pPr>
              <w:jc w:val="center"/>
              <w:rPr>
                <w:rFonts w:asciiTheme="minorHAnsi" w:eastAsia="Times New Roman" w:hAnsiTheme="minorHAnsi"/>
                <w:color w:val="000000"/>
              </w:rPr>
            </w:pPr>
            <w:r w:rsidRPr="00AB5791">
              <w:rPr>
                <w:rFonts w:asciiTheme="minorHAnsi" w:hAnsiTheme="minorHAnsi"/>
              </w:rPr>
              <w:t xml:space="preserve"> $42,770,086 </w:t>
            </w:r>
          </w:p>
        </w:tc>
        <w:tc>
          <w:tcPr>
            <w:tcW w:w="2790" w:type="dxa"/>
            <w:tcBorders>
              <w:top w:val="nil"/>
              <w:left w:val="nil"/>
              <w:bottom w:val="single" w:sz="8" w:space="0" w:color="auto"/>
              <w:right w:val="nil"/>
            </w:tcBorders>
          </w:tcPr>
          <w:p w14:paraId="6DDB541B" w14:textId="35EED3CB" w:rsidR="00AB5791" w:rsidRPr="00AB5791" w:rsidRDefault="00AB5791" w:rsidP="00AB5791">
            <w:pPr>
              <w:jc w:val="center"/>
              <w:rPr>
                <w:rFonts w:asciiTheme="minorHAnsi" w:eastAsia="Times New Roman" w:hAnsiTheme="minorHAnsi"/>
                <w:color w:val="000000"/>
              </w:rPr>
            </w:pPr>
            <w:r w:rsidRPr="00AB5791">
              <w:rPr>
                <w:rFonts w:asciiTheme="minorHAnsi" w:hAnsiTheme="minorHAnsi"/>
              </w:rPr>
              <w:t xml:space="preserve"> $81,263,164 </w:t>
            </w:r>
          </w:p>
        </w:tc>
      </w:tr>
      <w:tr w:rsidR="00AB5791" w:rsidRPr="00192227" w14:paraId="33DC45C5" w14:textId="77777777" w:rsidTr="00B77F38">
        <w:trPr>
          <w:trHeight w:val="340"/>
        </w:trPr>
        <w:tc>
          <w:tcPr>
            <w:tcW w:w="5292" w:type="dxa"/>
            <w:tcBorders>
              <w:top w:val="single" w:sz="8" w:space="0" w:color="auto"/>
              <w:left w:val="nil"/>
              <w:bottom w:val="single" w:sz="8" w:space="0" w:color="auto"/>
              <w:right w:val="nil"/>
            </w:tcBorders>
            <w:shd w:val="clear" w:color="auto" w:fill="auto"/>
            <w:noWrap/>
            <w:vAlign w:val="center"/>
            <w:hideMark/>
          </w:tcPr>
          <w:p w14:paraId="4EFB1A65" w14:textId="77777777" w:rsidR="00AB5791" w:rsidRPr="00192227" w:rsidRDefault="00AB5791" w:rsidP="00AB5791">
            <w:pPr>
              <w:jc w:val="right"/>
              <w:rPr>
                <w:rFonts w:asciiTheme="minorHAnsi" w:eastAsia="Times New Roman" w:hAnsiTheme="minorHAnsi"/>
                <w:color w:val="000000"/>
              </w:rPr>
            </w:pPr>
            <w:r w:rsidRPr="00192227">
              <w:rPr>
                <w:rFonts w:asciiTheme="minorHAnsi" w:eastAsia="Times New Roman" w:hAnsiTheme="minorHAnsi"/>
                <w:color w:val="000000"/>
              </w:rPr>
              <w:t>Total Value</w:t>
            </w:r>
          </w:p>
        </w:tc>
        <w:tc>
          <w:tcPr>
            <w:tcW w:w="2070" w:type="dxa"/>
            <w:tcBorders>
              <w:top w:val="nil"/>
              <w:left w:val="nil"/>
              <w:bottom w:val="single" w:sz="8" w:space="0" w:color="auto"/>
              <w:right w:val="nil"/>
            </w:tcBorders>
            <w:shd w:val="clear" w:color="auto" w:fill="auto"/>
            <w:noWrap/>
            <w:hideMark/>
          </w:tcPr>
          <w:p w14:paraId="1230780D" w14:textId="7D8F2639" w:rsidR="00AB5791" w:rsidRPr="00AB5791" w:rsidRDefault="00AB5791" w:rsidP="00AB5791">
            <w:pPr>
              <w:jc w:val="center"/>
              <w:rPr>
                <w:rFonts w:asciiTheme="minorHAnsi" w:eastAsia="Times New Roman" w:hAnsiTheme="minorHAnsi"/>
                <w:color w:val="000000"/>
              </w:rPr>
            </w:pPr>
            <w:r w:rsidRPr="00AB5791">
              <w:rPr>
                <w:rFonts w:asciiTheme="minorHAnsi" w:hAnsiTheme="minorHAnsi"/>
              </w:rPr>
              <w:t xml:space="preserve"> $233,778,453 </w:t>
            </w:r>
          </w:p>
        </w:tc>
        <w:tc>
          <w:tcPr>
            <w:tcW w:w="2790" w:type="dxa"/>
            <w:tcBorders>
              <w:top w:val="nil"/>
              <w:left w:val="nil"/>
              <w:bottom w:val="single" w:sz="8" w:space="0" w:color="auto"/>
              <w:right w:val="nil"/>
            </w:tcBorders>
          </w:tcPr>
          <w:p w14:paraId="687A38A7" w14:textId="3F5CBD92" w:rsidR="00AB5791" w:rsidRPr="00AB5791" w:rsidRDefault="00AB5791" w:rsidP="00AB5791">
            <w:pPr>
              <w:jc w:val="center"/>
              <w:rPr>
                <w:rFonts w:asciiTheme="minorHAnsi" w:eastAsia="Times New Roman" w:hAnsiTheme="minorHAnsi"/>
                <w:color w:val="000000"/>
              </w:rPr>
            </w:pPr>
            <w:r w:rsidRPr="00AB5791">
              <w:rPr>
                <w:rFonts w:asciiTheme="minorHAnsi" w:hAnsiTheme="minorHAnsi"/>
              </w:rPr>
              <w:t xml:space="preserve"> $444,179,060 </w:t>
            </w:r>
          </w:p>
        </w:tc>
      </w:tr>
    </w:tbl>
    <w:p w14:paraId="246D6E02" w14:textId="77777777" w:rsidR="0081700F" w:rsidRPr="00192227" w:rsidRDefault="0081700F" w:rsidP="00192227">
      <w:pPr>
        <w:rPr>
          <w:rFonts w:ascii="Baskerville Old Face" w:hAnsi="Baskerville Old Face"/>
          <w:sz w:val="18"/>
          <w:szCs w:val="18"/>
        </w:rPr>
      </w:pPr>
      <w:r w:rsidRPr="00192227">
        <w:rPr>
          <w:rFonts w:ascii="Baskerville Old Face" w:hAnsi="Baskerville Old Face"/>
          <w:sz w:val="18"/>
          <w:szCs w:val="18"/>
        </w:rPr>
        <w:t>1 – IMPLAN Model values represent direct, induced and indirect economic values derived from spending.</w:t>
      </w:r>
    </w:p>
    <w:p w14:paraId="15221B98" w14:textId="77777777" w:rsidR="0081700F" w:rsidRPr="00192227" w:rsidRDefault="0081700F" w:rsidP="00192227">
      <w:pPr>
        <w:rPr>
          <w:rFonts w:ascii="Baskerville Old Face" w:hAnsi="Baskerville Old Face"/>
          <w:sz w:val="18"/>
          <w:szCs w:val="18"/>
        </w:rPr>
      </w:pPr>
    </w:p>
    <w:p w14:paraId="5968B257" w14:textId="30BB6BFA" w:rsidR="00682D9F" w:rsidRPr="00192227" w:rsidRDefault="00750F2E" w:rsidP="00192227">
      <w:pPr>
        <w:spacing w:line="300" w:lineRule="auto"/>
        <w:rPr>
          <w:rFonts w:ascii="Baskerville Old Face" w:hAnsi="Baskerville Old Face"/>
          <w:color w:val="000000" w:themeColor="text1"/>
        </w:rPr>
      </w:pPr>
      <w:r w:rsidRPr="00192227">
        <w:rPr>
          <w:rFonts w:ascii="Baskerville Old Face" w:hAnsi="Baskerville Old Face"/>
        </w:rPr>
        <w:t xml:space="preserve">As illustrated in Table </w:t>
      </w:r>
      <w:r w:rsidR="00AB5791">
        <w:rPr>
          <w:rFonts w:ascii="Baskerville Old Face" w:hAnsi="Baskerville Old Face"/>
        </w:rPr>
        <w:t>9</w:t>
      </w:r>
      <w:r w:rsidRPr="00192227">
        <w:rPr>
          <w:rFonts w:ascii="Baskerville Old Face" w:hAnsi="Baskerville Old Face"/>
        </w:rPr>
        <w:t xml:space="preserve">, the national economic </w:t>
      </w:r>
      <w:r w:rsidR="00DA1F72" w:rsidRPr="00192227">
        <w:rPr>
          <w:rFonts w:ascii="Baskerville Old Face" w:hAnsi="Baskerville Old Face"/>
        </w:rPr>
        <w:t xml:space="preserve">value </w:t>
      </w:r>
      <w:r w:rsidRPr="00192227">
        <w:rPr>
          <w:rFonts w:ascii="Baskerville Old Face" w:hAnsi="Baskerville Old Face"/>
        </w:rPr>
        <w:t xml:space="preserve">of SAE engagement in agricultural education reaches </w:t>
      </w:r>
      <w:r w:rsidR="00AB5791">
        <w:rPr>
          <w:rFonts w:ascii="Baskerville Old Face" w:hAnsi="Baskerville Old Face"/>
        </w:rPr>
        <w:t>over $444 m</w:t>
      </w:r>
      <w:r w:rsidRPr="00192227">
        <w:rPr>
          <w:rFonts w:ascii="Baskerville Old Face" w:hAnsi="Baskerville Old Face"/>
        </w:rPr>
        <w:t>illion</w:t>
      </w:r>
      <w:r w:rsidR="00AB5791">
        <w:rPr>
          <w:rFonts w:ascii="Baskerville Old Face" w:hAnsi="Baskerville Old Face"/>
        </w:rPr>
        <w:t xml:space="preserve"> in national economic values, which support businesses and jobs</w:t>
      </w:r>
      <w:r w:rsidR="00096E05" w:rsidRPr="00192227">
        <w:rPr>
          <w:rFonts w:ascii="Baskerville" w:eastAsia="Times New Roman" w:hAnsi="Baskerville" w:cs="Calibri"/>
          <w:color w:val="000000" w:themeColor="text1"/>
        </w:rPr>
        <w:t>.</w:t>
      </w:r>
    </w:p>
    <w:p w14:paraId="2D70FB11" w14:textId="77777777" w:rsidR="00B77F38" w:rsidRPr="00192227" w:rsidRDefault="00B77F38" w:rsidP="00192227">
      <w:pPr>
        <w:rPr>
          <w:rFonts w:ascii="Baskerville Old Face" w:hAnsi="Baskerville Old Face"/>
          <w:color w:val="000000" w:themeColor="text1"/>
          <w:sz w:val="16"/>
          <w:szCs w:val="16"/>
        </w:rPr>
      </w:pPr>
    </w:p>
    <w:p w14:paraId="65C499C8" w14:textId="5B9FAECA" w:rsidR="007C2220" w:rsidRPr="00192227" w:rsidRDefault="00C12390" w:rsidP="00192227">
      <w:pPr>
        <w:rPr>
          <w:rFonts w:ascii="Baskerville" w:hAnsi="Baskerville"/>
          <w:color w:val="4F7AB5" w:themeColor="accent4"/>
        </w:rPr>
      </w:pPr>
      <w:r w:rsidRPr="00192227">
        <w:rPr>
          <w:rFonts w:ascii="Baskerville" w:hAnsi="Baskerville"/>
          <w:color w:val="4F7AB5" w:themeColor="accent4"/>
          <w:sz w:val="32"/>
          <w:szCs w:val="32"/>
        </w:rPr>
        <w:t>Application</w:t>
      </w:r>
      <w:r w:rsidR="007F12DB" w:rsidRPr="00192227">
        <w:rPr>
          <w:rFonts w:ascii="Baskerville" w:hAnsi="Baskerville"/>
          <w:color w:val="4F7AB5" w:themeColor="accent4"/>
          <w:sz w:val="32"/>
          <w:szCs w:val="32"/>
        </w:rPr>
        <w:t xml:space="preserve"> of Information</w:t>
      </w:r>
    </w:p>
    <w:p w14:paraId="5C86C5FD" w14:textId="77777777" w:rsidR="00B77F38" w:rsidRPr="00192227" w:rsidRDefault="00B77F38" w:rsidP="00192227">
      <w:pPr>
        <w:pStyle w:val="BodyText"/>
        <w:spacing w:after="0" w:line="240" w:lineRule="auto"/>
        <w:rPr>
          <w:rFonts w:ascii="Baskerville Old Face" w:hAnsi="Baskerville Old Face"/>
          <w:color w:val="000000" w:themeColor="text1"/>
          <w:sz w:val="24"/>
          <w:szCs w:val="24"/>
        </w:rPr>
      </w:pPr>
    </w:p>
    <w:p w14:paraId="2C48D095" w14:textId="1B2CBC20" w:rsidR="008D2BD3" w:rsidRPr="00192227" w:rsidRDefault="007C2220" w:rsidP="00192227">
      <w:pPr>
        <w:pStyle w:val="BodyText"/>
        <w:rPr>
          <w:rFonts w:ascii="Baskerville Old Face" w:hAnsi="Baskerville Old Face"/>
          <w:color w:val="000000" w:themeColor="text1"/>
          <w:sz w:val="24"/>
          <w:szCs w:val="24"/>
        </w:rPr>
      </w:pPr>
      <w:r w:rsidRPr="00192227">
        <w:rPr>
          <w:rFonts w:ascii="Baskerville Old Face" w:hAnsi="Baskerville Old Face"/>
          <w:color w:val="000000" w:themeColor="text1"/>
          <w:sz w:val="24"/>
          <w:szCs w:val="24"/>
        </w:rPr>
        <w:t>This report provides a summary of agricultural education</w:t>
      </w:r>
      <w:r w:rsidR="00AB5791">
        <w:rPr>
          <w:rFonts w:ascii="Baskerville Old Face" w:hAnsi="Baskerville Old Face"/>
          <w:color w:val="000000" w:themeColor="text1"/>
          <w:sz w:val="24"/>
          <w:szCs w:val="24"/>
        </w:rPr>
        <w:t xml:space="preserve"> at the local and national level.  </w:t>
      </w:r>
      <w:r w:rsidR="00B84149">
        <w:rPr>
          <w:rFonts w:ascii="Baskerville Old Face" w:hAnsi="Baskerville Old Face"/>
          <w:color w:val="000000" w:themeColor="text1"/>
          <w:sz w:val="24"/>
          <w:szCs w:val="24"/>
        </w:rPr>
        <w:t xml:space="preserve">This year’s report utilizes a conservative approach to measure program values in hope of capturing </w:t>
      </w:r>
      <w:r w:rsidRPr="00192227">
        <w:rPr>
          <w:rFonts w:ascii="Baskerville Old Face" w:hAnsi="Baskerville Old Face"/>
          <w:color w:val="000000" w:themeColor="text1"/>
          <w:sz w:val="24"/>
          <w:szCs w:val="24"/>
        </w:rPr>
        <w:t xml:space="preserve">metrics </w:t>
      </w:r>
      <w:r w:rsidR="00B84149">
        <w:rPr>
          <w:rFonts w:ascii="Baskerville Old Face" w:hAnsi="Baskerville Old Face"/>
          <w:color w:val="000000" w:themeColor="text1"/>
          <w:sz w:val="24"/>
          <w:szCs w:val="24"/>
        </w:rPr>
        <w:t xml:space="preserve">that </w:t>
      </w:r>
      <w:r w:rsidR="00B3327F" w:rsidRPr="00192227">
        <w:rPr>
          <w:rFonts w:ascii="Baskerville Old Face" w:hAnsi="Baskerville Old Face"/>
          <w:color w:val="000000" w:themeColor="text1"/>
          <w:sz w:val="24"/>
          <w:szCs w:val="24"/>
        </w:rPr>
        <w:t>describ</w:t>
      </w:r>
      <w:r w:rsidR="00B84149">
        <w:rPr>
          <w:rFonts w:ascii="Baskerville Old Face" w:hAnsi="Baskerville Old Face"/>
          <w:color w:val="000000" w:themeColor="text1"/>
          <w:sz w:val="24"/>
          <w:szCs w:val="24"/>
        </w:rPr>
        <w:t>e</w:t>
      </w:r>
      <w:r w:rsidRPr="00192227">
        <w:rPr>
          <w:rFonts w:ascii="Baskerville Old Face" w:hAnsi="Baskerville Old Face"/>
          <w:color w:val="000000" w:themeColor="text1"/>
          <w:sz w:val="24"/>
          <w:szCs w:val="24"/>
        </w:rPr>
        <w:t xml:space="preserve"> a typical </w:t>
      </w:r>
      <w:r w:rsidR="0011687A" w:rsidRPr="00192227">
        <w:rPr>
          <w:rFonts w:ascii="Baskerville Old Face" w:hAnsi="Baskerville Old Face"/>
          <w:color w:val="000000" w:themeColor="text1"/>
          <w:sz w:val="24"/>
          <w:szCs w:val="24"/>
        </w:rPr>
        <w:t xml:space="preserve">U.S. </w:t>
      </w:r>
      <w:r w:rsidRPr="00192227">
        <w:rPr>
          <w:rFonts w:ascii="Baskerville Old Face" w:hAnsi="Baskerville Old Face"/>
          <w:color w:val="000000" w:themeColor="text1"/>
          <w:sz w:val="24"/>
          <w:szCs w:val="24"/>
        </w:rPr>
        <w:t>agricultural education progra</w:t>
      </w:r>
      <w:r w:rsidR="00CA4C48" w:rsidRPr="00192227">
        <w:rPr>
          <w:rFonts w:ascii="Baskerville Old Face" w:hAnsi="Baskerville Old Face"/>
          <w:color w:val="000000" w:themeColor="text1"/>
          <w:sz w:val="24"/>
          <w:szCs w:val="24"/>
        </w:rPr>
        <w:t>m</w:t>
      </w:r>
      <w:r w:rsidRPr="00192227">
        <w:rPr>
          <w:rFonts w:ascii="Baskerville Old Face" w:hAnsi="Baskerville Old Face"/>
          <w:color w:val="000000" w:themeColor="text1"/>
          <w:sz w:val="24"/>
          <w:szCs w:val="24"/>
        </w:rPr>
        <w:t xml:space="preserve">. </w:t>
      </w:r>
      <w:r w:rsidR="00B84149">
        <w:rPr>
          <w:rFonts w:ascii="Baskerville Old Face" w:hAnsi="Baskerville Old Face"/>
          <w:color w:val="000000" w:themeColor="text1"/>
          <w:sz w:val="24"/>
          <w:szCs w:val="24"/>
        </w:rPr>
        <w:t xml:space="preserve"> The objective of this report is to share values of agricultural education and learning outcomes that illustrate both programmatic, academic and economic values.  </w:t>
      </w:r>
      <w:r w:rsidR="00C12390" w:rsidRPr="00192227">
        <w:rPr>
          <w:rFonts w:ascii="Baskerville Old Face" w:hAnsi="Baskerville Old Face"/>
          <w:color w:val="000000" w:themeColor="text1"/>
          <w:sz w:val="24"/>
          <w:szCs w:val="24"/>
        </w:rPr>
        <w:t xml:space="preserve">Appropriate use of these values </w:t>
      </w:r>
      <w:r w:rsidR="00192227" w:rsidRPr="00192227">
        <w:rPr>
          <w:rFonts w:ascii="Baskerville Old Face" w:hAnsi="Baskerville Old Face"/>
          <w:color w:val="000000" w:themeColor="text1"/>
          <w:sz w:val="24"/>
          <w:szCs w:val="24"/>
        </w:rPr>
        <w:t>can</w:t>
      </w:r>
      <w:r w:rsidR="004C548F" w:rsidRPr="00192227">
        <w:rPr>
          <w:rFonts w:ascii="Baskerville Old Face" w:hAnsi="Baskerville Old Face"/>
          <w:color w:val="000000" w:themeColor="text1"/>
          <w:sz w:val="24"/>
          <w:szCs w:val="24"/>
        </w:rPr>
        <w:t xml:space="preserve"> drive</w:t>
      </w:r>
      <w:r w:rsidR="00750F2E" w:rsidRPr="00192227">
        <w:rPr>
          <w:rFonts w:ascii="Baskerville Old Face" w:hAnsi="Baskerville Old Face"/>
          <w:color w:val="000000" w:themeColor="text1"/>
          <w:sz w:val="24"/>
          <w:szCs w:val="24"/>
        </w:rPr>
        <w:t xml:space="preserve"> support in agricultural education or FFA programs, potentially prioritizing educational initiatives. Values listed here also may serve as </w:t>
      </w:r>
      <w:r w:rsidR="007F12DB" w:rsidRPr="00192227">
        <w:rPr>
          <w:rFonts w:ascii="Baskerville Old Face" w:hAnsi="Baskerville Old Face"/>
          <w:color w:val="000000" w:themeColor="text1"/>
          <w:sz w:val="24"/>
          <w:szCs w:val="24"/>
        </w:rPr>
        <w:t xml:space="preserve">comparisons </w:t>
      </w:r>
      <w:r w:rsidR="00750F2E" w:rsidRPr="00192227">
        <w:rPr>
          <w:rFonts w:ascii="Baskerville Old Face" w:hAnsi="Baskerville Old Face"/>
          <w:color w:val="000000" w:themeColor="text1"/>
          <w:sz w:val="24"/>
          <w:szCs w:val="24"/>
        </w:rPr>
        <w:t xml:space="preserve">to local program reports listed in </w:t>
      </w:r>
      <w:r w:rsidR="007F12DB" w:rsidRPr="00192227">
        <w:rPr>
          <w:rFonts w:ascii="Baskerville Old Face" w:hAnsi="Baskerville Old Face"/>
          <w:color w:val="000000" w:themeColor="text1"/>
          <w:sz w:val="24"/>
          <w:szCs w:val="24"/>
        </w:rPr>
        <w:t>AET.</w:t>
      </w:r>
    </w:p>
    <w:p w14:paraId="7575E10A" w14:textId="7AB6FB92" w:rsidR="00750F2E" w:rsidRPr="00192227" w:rsidRDefault="00750F2E" w:rsidP="00192227">
      <w:pPr>
        <w:pStyle w:val="BodyText"/>
        <w:rPr>
          <w:rFonts w:ascii="Baskerville Old Face" w:hAnsi="Baskerville Old Face"/>
          <w:sz w:val="24"/>
          <w:szCs w:val="24"/>
        </w:rPr>
      </w:pPr>
      <w:r w:rsidRPr="00192227">
        <w:rPr>
          <w:rFonts w:ascii="Baskerville Old Face" w:hAnsi="Baskerville Old Face"/>
          <w:color w:val="000000" w:themeColor="text1"/>
          <w:sz w:val="24"/>
          <w:szCs w:val="24"/>
        </w:rPr>
        <w:t xml:space="preserve">As in the case </w:t>
      </w:r>
      <w:r w:rsidR="00E72592" w:rsidRPr="00192227">
        <w:rPr>
          <w:rFonts w:ascii="Baskerville Old Face" w:hAnsi="Baskerville Old Face"/>
          <w:color w:val="000000" w:themeColor="text1"/>
          <w:sz w:val="24"/>
          <w:szCs w:val="24"/>
        </w:rPr>
        <w:t>of</w:t>
      </w:r>
      <w:r w:rsidRPr="00192227">
        <w:rPr>
          <w:rFonts w:ascii="Baskerville Old Face" w:hAnsi="Baskerville Old Face"/>
          <w:color w:val="000000" w:themeColor="text1"/>
          <w:sz w:val="24"/>
          <w:szCs w:val="24"/>
        </w:rPr>
        <w:t xml:space="preserve"> all research </w:t>
      </w:r>
      <w:r w:rsidR="00E72592" w:rsidRPr="00192227">
        <w:rPr>
          <w:rFonts w:ascii="Baskerville Old Face" w:hAnsi="Baskerville Old Face"/>
          <w:color w:val="000000" w:themeColor="text1"/>
          <w:sz w:val="24"/>
          <w:szCs w:val="24"/>
        </w:rPr>
        <w:t>reports</w:t>
      </w:r>
      <w:r w:rsidRPr="00192227">
        <w:rPr>
          <w:rFonts w:ascii="Baskerville Old Face" w:hAnsi="Baskerville Old Face"/>
          <w:color w:val="000000" w:themeColor="text1"/>
          <w:sz w:val="24"/>
          <w:szCs w:val="24"/>
        </w:rPr>
        <w:t xml:space="preserve">, </w:t>
      </w:r>
      <w:r w:rsidR="00E72592" w:rsidRPr="00192227">
        <w:rPr>
          <w:rFonts w:ascii="Baskerville Old Face" w:hAnsi="Baskerville Old Face"/>
          <w:color w:val="000000" w:themeColor="text1"/>
          <w:sz w:val="24"/>
          <w:szCs w:val="24"/>
        </w:rPr>
        <w:t>standard error always exists when summarizing and extrapolating</w:t>
      </w:r>
      <w:r w:rsidR="00F9676E" w:rsidRPr="00192227">
        <w:rPr>
          <w:rFonts w:ascii="Baskerville Old Face" w:hAnsi="Baskerville Old Face"/>
          <w:color w:val="000000" w:themeColor="text1"/>
          <w:sz w:val="24"/>
          <w:szCs w:val="24"/>
        </w:rPr>
        <w:t xml:space="preserve"> data; however,</w:t>
      </w:r>
      <w:r w:rsidR="00E72592" w:rsidRPr="00192227">
        <w:rPr>
          <w:rFonts w:ascii="Baskerville Old Face" w:hAnsi="Baskerville Old Face"/>
          <w:color w:val="000000" w:themeColor="text1"/>
          <w:sz w:val="24"/>
          <w:szCs w:val="24"/>
        </w:rPr>
        <w:t xml:space="preserve"> several key areas (% SAE involvement, SAE spending</w:t>
      </w:r>
      <w:r w:rsidR="00DA1F72" w:rsidRPr="00192227">
        <w:rPr>
          <w:rFonts w:ascii="Baskerville Old Face" w:hAnsi="Baskerville Old Face"/>
          <w:color w:val="000000" w:themeColor="text1"/>
          <w:sz w:val="24"/>
          <w:szCs w:val="24"/>
        </w:rPr>
        <w:t>,</w:t>
      </w:r>
      <w:r w:rsidR="00E72592" w:rsidRPr="00192227">
        <w:rPr>
          <w:rFonts w:ascii="Baskerville Old Face" w:hAnsi="Baskerville Old Face"/>
          <w:color w:val="000000" w:themeColor="text1"/>
          <w:sz w:val="24"/>
          <w:szCs w:val="24"/>
        </w:rPr>
        <w:t xml:space="preserve"> and FFA involvement) were compared to a random selection of programs and no significant differences were found, which does offer support that these values do represent typical programs in agricultural </w:t>
      </w:r>
      <w:r w:rsidR="00E72592" w:rsidRPr="00192227">
        <w:rPr>
          <w:rFonts w:ascii="Baskerville Old Face" w:hAnsi="Baskerville Old Face"/>
          <w:sz w:val="24"/>
          <w:szCs w:val="24"/>
        </w:rPr>
        <w:t xml:space="preserve">education with students tracking their educational experiences.  </w:t>
      </w:r>
    </w:p>
    <w:p w14:paraId="7A1D31DC" w14:textId="6DFC957C" w:rsidR="00E72592" w:rsidRPr="008D2BD3" w:rsidRDefault="00E72592" w:rsidP="00192227">
      <w:pPr>
        <w:pStyle w:val="BodyText"/>
        <w:rPr>
          <w:rFonts w:ascii="Baskerville Old Face" w:hAnsi="Baskerville Old Face"/>
          <w:sz w:val="24"/>
          <w:szCs w:val="24"/>
        </w:rPr>
      </w:pPr>
      <w:r w:rsidRPr="00192227">
        <w:rPr>
          <w:rFonts w:ascii="Baskerville Old Face" w:hAnsi="Baskerville Old Face"/>
          <w:sz w:val="24"/>
          <w:szCs w:val="24"/>
        </w:rPr>
        <w:t>Any questions or additional information should be directed to the author, Dr. Roger Hanagriff with The</w:t>
      </w:r>
      <w:r w:rsidR="00F9676E" w:rsidRPr="00192227">
        <w:rPr>
          <w:rFonts w:ascii="Baskerville Old Face" w:hAnsi="Baskerville Old Face"/>
          <w:sz w:val="24"/>
          <w:szCs w:val="24"/>
        </w:rPr>
        <w:t xml:space="preserve"> </w:t>
      </w:r>
      <w:r w:rsidRPr="00192227">
        <w:rPr>
          <w:rFonts w:ascii="Baskerville Old Face" w:hAnsi="Baskerville Old Face"/>
          <w:sz w:val="24"/>
          <w:szCs w:val="24"/>
        </w:rPr>
        <w:t xml:space="preserve">AET and Associate Professor at Texas A&amp;M University Kingsville – </w:t>
      </w:r>
      <w:r w:rsidRPr="004D6E23">
        <w:rPr>
          <w:rFonts w:ascii="Baskerville Old Face" w:hAnsi="Baskerville Old Face"/>
          <w:sz w:val="24"/>
          <w:szCs w:val="24"/>
        </w:rPr>
        <w:t>roger@theaet.com</w:t>
      </w:r>
      <w:r>
        <w:rPr>
          <w:rFonts w:ascii="Baskerville Old Face" w:hAnsi="Baskerville Old Face"/>
          <w:sz w:val="24"/>
          <w:szCs w:val="24"/>
        </w:rPr>
        <w:t xml:space="preserve"> </w:t>
      </w:r>
    </w:p>
    <w:sectPr w:rsidR="00E72592" w:rsidRPr="008D2BD3" w:rsidSect="003C62A3">
      <w:headerReference w:type="default" r:id="rId8"/>
      <w:footerReference w:type="even" r:id="rId9"/>
      <w:footerReference w:type="default" r:id="rId10"/>
      <w:headerReference w:type="first" r:id="rId11"/>
      <w:pgSz w:w="12240" w:h="15840"/>
      <w:pgMar w:top="1512" w:right="720" w:bottom="234"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786E5" w14:textId="77777777" w:rsidR="00B00940" w:rsidRDefault="00B00940">
      <w:r>
        <w:separator/>
      </w:r>
    </w:p>
  </w:endnote>
  <w:endnote w:type="continuationSeparator" w:id="0">
    <w:p w14:paraId="0B7E4874" w14:textId="77777777" w:rsidR="00B00940" w:rsidRDefault="00B0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8E55" w14:textId="77777777" w:rsidR="00685D8F" w:rsidRDefault="00685D8F" w:rsidP="00BF33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86FDE" w14:textId="77777777" w:rsidR="00685D8F" w:rsidRDefault="00685D8F" w:rsidP="00BF33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73100" w14:textId="77777777" w:rsidR="00685D8F" w:rsidRDefault="00685D8F" w:rsidP="00BF33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14:paraId="6A7DFBB5" w14:textId="646DE413" w:rsidR="00685D8F" w:rsidRDefault="00685D8F" w:rsidP="00BF33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F07AC" w14:textId="77777777" w:rsidR="00B00940" w:rsidRDefault="00B00940">
      <w:r>
        <w:separator/>
      </w:r>
    </w:p>
  </w:footnote>
  <w:footnote w:type="continuationSeparator" w:id="0">
    <w:p w14:paraId="0D04E2D7" w14:textId="77777777" w:rsidR="00B00940" w:rsidRDefault="00B00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110"/>
      <w:gridCol w:w="2690"/>
    </w:tblGrid>
    <w:tr w:rsidR="00685D8F" w14:paraId="47C574BD" w14:textId="77777777" w:rsidTr="0008085C">
      <w:trPr>
        <w:trHeight w:val="1270"/>
      </w:trPr>
      <w:tc>
        <w:tcPr>
          <w:tcW w:w="8279" w:type="dxa"/>
          <w:vAlign w:val="center"/>
        </w:tcPr>
        <w:p w14:paraId="4B7C30FC" w14:textId="5AB98A78" w:rsidR="00685D8F" w:rsidRPr="002957A2" w:rsidRDefault="00685D8F" w:rsidP="00C52EAF">
          <w:pPr>
            <w:pStyle w:val="Title"/>
            <w:rPr>
              <w:color w:val="808080" w:themeColor="background1" w:themeShade="80"/>
              <w:sz w:val="24"/>
              <w:szCs w:val="24"/>
            </w:rPr>
          </w:pPr>
          <w:r w:rsidRPr="002957A2">
            <w:rPr>
              <w:color w:val="808080" w:themeColor="background1" w:themeShade="80"/>
              <w:sz w:val="24"/>
              <w:szCs w:val="24"/>
            </w:rPr>
            <w:t xml:space="preserve">Dr. Roger D. Hanagriff, </w:t>
          </w:r>
        </w:p>
        <w:p w14:paraId="2149FD66" w14:textId="77777777" w:rsidR="00685D8F" w:rsidRDefault="00685D8F" w:rsidP="00B3327F">
          <w:pPr>
            <w:pStyle w:val="Title"/>
            <w:rPr>
              <w:color w:val="808080" w:themeColor="background1" w:themeShade="80"/>
              <w:sz w:val="24"/>
              <w:szCs w:val="24"/>
            </w:rPr>
          </w:pPr>
          <w:r w:rsidRPr="003F387F">
            <w:rPr>
              <w:noProof/>
              <w:sz w:val="32"/>
              <w:szCs w:val="32"/>
            </w:rPr>
            <w:drawing>
              <wp:anchor distT="0" distB="0" distL="114300" distR="114300" simplePos="0" relativeHeight="251661312" behindDoc="0" locked="0" layoutInCell="1" allowOverlap="1" wp14:anchorId="347D7919" wp14:editId="57CEA081">
                <wp:simplePos x="0" y="0"/>
                <wp:positionH relativeFrom="margin">
                  <wp:posOffset>4208780</wp:posOffset>
                </wp:positionH>
                <wp:positionV relativeFrom="margin">
                  <wp:posOffset>289560</wp:posOffset>
                </wp:positionV>
                <wp:extent cx="871220" cy="483870"/>
                <wp:effectExtent l="0" t="0" r="5080" b="0"/>
                <wp:wrapTight wrapText="bothSides">
                  <wp:wrapPolygon edited="0">
                    <wp:start x="0" y="0"/>
                    <wp:lineTo x="0" y="20976"/>
                    <wp:lineTo x="21411" y="20976"/>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T new logo.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871220" cy="483870"/>
                        </a:xfrm>
                        <a:prstGeom prst="rect">
                          <a:avLst/>
                        </a:prstGeom>
                      </pic:spPr>
                    </pic:pic>
                  </a:graphicData>
                </a:graphic>
                <wp14:sizeRelH relativeFrom="page">
                  <wp14:pctWidth>0</wp14:pctWidth>
                </wp14:sizeRelH>
                <wp14:sizeRelV relativeFrom="page">
                  <wp14:pctHeight>0</wp14:pctHeight>
                </wp14:sizeRelV>
              </wp:anchor>
            </w:drawing>
          </w:r>
          <w:r w:rsidRPr="002957A2">
            <w:rPr>
              <w:color w:val="808080" w:themeColor="background1" w:themeShade="80"/>
              <w:sz w:val="24"/>
              <w:szCs w:val="24"/>
            </w:rPr>
            <w:t>The AET &amp; Texas A&amp;M University</w:t>
          </w:r>
          <w:r>
            <w:rPr>
              <w:color w:val="808080" w:themeColor="background1" w:themeShade="80"/>
              <w:sz w:val="24"/>
              <w:szCs w:val="24"/>
            </w:rPr>
            <w:t xml:space="preserve"> Kingsville</w:t>
          </w:r>
        </w:p>
        <w:p w14:paraId="7EFB03C4" w14:textId="04F56461" w:rsidR="00685D8F" w:rsidRPr="002957A2" w:rsidRDefault="00685D8F" w:rsidP="00B3327F">
          <w:pPr>
            <w:pStyle w:val="Title"/>
            <w:rPr>
              <w:color w:val="A6A6A6" w:themeColor="background1" w:themeShade="A6"/>
              <w:sz w:val="28"/>
              <w:szCs w:val="28"/>
            </w:rPr>
          </w:pPr>
          <w:r>
            <w:rPr>
              <w:color w:val="808080" w:themeColor="background1" w:themeShade="80"/>
              <w:sz w:val="24"/>
              <w:szCs w:val="24"/>
            </w:rPr>
            <w:t>Questions? roger@theaet.com</w:t>
          </w:r>
          <w:r w:rsidRPr="002957A2">
            <w:rPr>
              <w:color w:val="808080" w:themeColor="background1" w:themeShade="80"/>
              <w:sz w:val="28"/>
              <w:szCs w:val="28"/>
            </w:rPr>
            <w:t xml:space="preserve"> </w:t>
          </w:r>
        </w:p>
      </w:tc>
      <w:tc>
        <w:tcPr>
          <w:tcW w:w="2711" w:type="dxa"/>
          <w:vAlign w:val="center"/>
        </w:tcPr>
        <w:p w14:paraId="1A1F8F34" w14:textId="6B5124E4" w:rsidR="00685D8F" w:rsidRDefault="00685D8F">
          <w:pPr>
            <w:pStyle w:val="Boxes"/>
          </w:pPr>
          <w:r>
            <w:rPr>
              <w:noProof/>
            </w:rPr>
            <w:drawing>
              <wp:anchor distT="0" distB="0" distL="114300" distR="114300" simplePos="0" relativeHeight="251657216" behindDoc="1" locked="0" layoutInCell="1" allowOverlap="1" wp14:anchorId="7FBBE623" wp14:editId="36BC1C22">
                <wp:simplePos x="0" y="0"/>
                <wp:positionH relativeFrom="margin">
                  <wp:posOffset>485140</wp:posOffset>
                </wp:positionH>
                <wp:positionV relativeFrom="margin">
                  <wp:posOffset>356235</wp:posOffset>
                </wp:positionV>
                <wp:extent cx="1080770" cy="433705"/>
                <wp:effectExtent l="0" t="0" r="0" b="0"/>
                <wp:wrapTight wrapText="bothSides">
                  <wp:wrapPolygon edited="0">
                    <wp:start x="1777" y="0"/>
                    <wp:lineTo x="0" y="0"/>
                    <wp:lineTo x="0" y="20873"/>
                    <wp:lineTo x="21321" y="20873"/>
                    <wp:lineTo x="21321" y="6958"/>
                    <wp:lineTo x="10914" y="1265"/>
                    <wp:lineTo x="3300" y="0"/>
                    <wp:lineTo x="177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Logo.png"/>
                        <pic:cNvPicPr/>
                      </pic:nvPicPr>
                      <pic:blipFill>
                        <a:blip r:embed="rId2"/>
                        <a:stretch>
                          <a:fillRect/>
                        </a:stretch>
                      </pic:blipFill>
                      <pic:spPr>
                        <a:xfrm>
                          <a:off x="0" y="0"/>
                          <a:ext cx="1080770" cy="433705"/>
                        </a:xfrm>
                        <a:prstGeom prst="rect">
                          <a:avLst/>
                        </a:prstGeom>
                      </pic:spPr>
                    </pic:pic>
                  </a:graphicData>
                </a:graphic>
                <wp14:sizeRelH relativeFrom="page">
                  <wp14:pctWidth>0</wp14:pctWidth>
                </wp14:sizeRelH>
                <wp14:sizeRelV relativeFrom="page">
                  <wp14:pctHeight>0</wp14:pctHeight>
                </wp14:sizeRelV>
              </wp:anchor>
            </w:drawing>
          </w:r>
          <w:r>
            <w:t xml:space="preserve">    </w:t>
          </w:r>
        </w:p>
      </w:tc>
    </w:tr>
  </w:tbl>
  <w:p w14:paraId="7D1C4EFF" w14:textId="6B26F080" w:rsidR="00685D8F" w:rsidRDefault="00685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147"/>
      <w:gridCol w:w="2653"/>
    </w:tblGrid>
    <w:tr w:rsidR="00685D8F" w14:paraId="39D1DAE2" w14:textId="77777777">
      <w:tc>
        <w:tcPr>
          <w:tcW w:w="8298" w:type="dxa"/>
          <w:vAlign w:val="center"/>
        </w:tcPr>
        <w:p w14:paraId="50D18799" w14:textId="77777777" w:rsidR="00685D8F" w:rsidRPr="008A281C" w:rsidRDefault="00685D8F">
          <w:pPr>
            <w:pStyle w:val="Title"/>
            <w:rPr>
              <w:rFonts w:asciiTheme="minorHAnsi" w:hAnsiTheme="minorHAnsi"/>
              <w:color w:val="auto"/>
            </w:rPr>
          </w:pPr>
          <w:r w:rsidRPr="008A281C">
            <w:rPr>
              <w:rFonts w:asciiTheme="minorHAnsi" w:hAnsiTheme="minorHAnsi"/>
              <w:color w:val="auto"/>
            </w:rPr>
            <w:t xml:space="preserve">AET Annual Program Report for </w:t>
          </w:r>
        </w:p>
        <w:p w14:paraId="114BE1DC" w14:textId="474C5C98" w:rsidR="00685D8F" w:rsidRPr="008A281C" w:rsidRDefault="00685D8F">
          <w:pPr>
            <w:pStyle w:val="Title"/>
            <w:rPr>
              <w:rFonts w:asciiTheme="minorHAnsi" w:hAnsiTheme="minorHAnsi"/>
              <w:color w:val="auto"/>
            </w:rPr>
          </w:pPr>
          <w:r>
            <w:rPr>
              <w:rFonts w:asciiTheme="minorHAnsi" w:hAnsiTheme="minorHAnsi"/>
              <w:color w:val="auto"/>
            </w:rPr>
            <w:t>2015</w:t>
          </w:r>
          <w:r w:rsidRPr="008A281C">
            <w:rPr>
              <w:rFonts w:asciiTheme="minorHAnsi" w:hAnsiTheme="minorHAnsi"/>
              <w:color w:val="auto"/>
            </w:rPr>
            <w:t xml:space="preserve"> Idaho Program</w:t>
          </w:r>
          <w:r>
            <w:rPr>
              <w:rFonts w:asciiTheme="minorHAnsi" w:hAnsiTheme="minorHAnsi"/>
              <w:color w:val="auto"/>
            </w:rPr>
            <w:t>matic</w:t>
          </w:r>
          <w:r w:rsidRPr="008A281C">
            <w:rPr>
              <w:rFonts w:asciiTheme="minorHAnsi" w:hAnsiTheme="minorHAnsi"/>
              <w:color w:val="auto"/>
            </w:rPr>
            <w:t xml:space="preserve"> &amp;</w:t>
          </w:r>
          <w:r>
            <w:rPr>
              <w:rFonts w:asciiTheme="minorHAnsi" w:hAnsiTheme="minorHAnsi"/>
              <w:color w:val="auto"/>
            </w:rPr>
            <w:t xml:space="preserve"> Economic Values</w:t>
          </w:r>
        </w:p>
        <w:p w14:paraId="27247044" w14:textId="77777777" w:rsidR="00685D8F" w:rsidRPr="008A281C" w:rsidRDefault="00685D8F" w:rsidP="009E4F43"/>
        <w:p w14:paraId="3BF3B526" w14:textId="1059CE37" w:rsidR="00685D8F" w:rsidRPr="008A281C" w:rsidRDefault="00685D8F" w:rsidP="009E4F43">
          <w:r>
            <w:t xml:space="preserve">February 2, 2013 - </w:t>
          </w:r>
          <w:r w:rsidRPr="008A281C">
            <w:t>Dr. Roger D. Hanagriff</w:t>
          </w:r>
          <w:r>
            <w:t>, The AET &amp; Associate Professor at Texas A&amp;M University</w:t>
          </w:r>
        </w:p>
      </w:tc>
      <w:tc>
        <w:tcPr>
          <w:tcW w:w="2718" w:type="dxa"/>
          <w:vAlign w:val="center"/>
        </w:tcPr>
        <w:p w14:paraId="0F79417C" w14:textId="77777777" w:rsidR="00685D8F" w:rsidRPr="008A281C" w:rsidRDefault="00685D8F">
          <w:pPr>
            <w:pStyle w:val="Boxes"/>
          </w:pPr>
          <w:r w:rsidRPr="008A281C">
            <w:t xml:space="preserve">    </w:t>
          </w:r>
        </w:p>
      </w:tc>
    </w:tr>
  </w:tbl>
  <w:p w14:paraId="42C6E9B7" w14:textId="77777777" w:rsidR="00685D8F" w:rsidRDefault="00685D8F">
    <w:pPr>
      <w:pStyle w:val="ContactDetail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15:restartNumberingAfterBreak="0">
    <w:nsid w:val="1FCE5576"/>
    <w:multiLevelType w:val="hybridMultilevel"/>
    <w:tmpl w:val="B73E5BEE"/>
    <w:lvl w:ilvl="0" w:tplc="78C81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42ACB"/>
    <w:multiLevelType w:val="hybridMultilevel"/>
    <w:tmpl w:val="AC86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9E4F43"/>
    <w:rsid w:val="00001446"/>
    <w:rsid w:val="00004E43"/>
    <w:rsid w:val="00007129"/>
    <w:rsid w:val="00010C5D"/>
    <w:rsid w:val="00017E65"/>
    <w:rsid w:val="00035D4B"/>
    <w:rsid w:val="00040B45"/>
    <w:rsid w:val="000559D9"/>
    <w:rsid w:val="0006212D"/>
    <w:rsid w:val="0006571E"/>
    <w:rsid w:val="000717E0"/>
    <w:rsid w:val="00075A99"/>
    <w:rsid w:val="00075E2D"/>
    <w:rsid w:val="000765B7"/>
    <w:rsid w:val="000776C4"/>
    <w:rsid w:val="0008085C"/>
    <w:rsid w:val="00086464"/>
    <w:rsid w:val="00086D53"/>
    <w:rsid w:val="00092184"/>
    <w:rsid w:val="000942BC"/>
    <w:rsid w:val="0009440C"/>
    <w:rsid w:val="00095F7F"/>
    <w:rsid w:val="00096E05"/>
    <w:rsid w:val="00097FF7"/>
    <w:rsid w:val="000A1E06"/>
    <w:rsid w:val="000A1F2A"/>
    <w:rsid w:val="000A3AAE"/>
    <w:rsid w:val="000B6752"/>
    <w:rsid w:val="000D0120"/>
    <w:rsid w:val="000D12BE"/>
    <w:rsid w:val="000D5110"/>
    <w:rsid w:val="000E67D0"/>
    <w:rsid w:val="000F36CE"/>
    <w:rsid w:val="00105FC8"/>
    <w:rsid w:val="001113E5"/>
    <w:rsid w:val="00115959"/>
    <w:rsid w:val="00115F78"/>
    <w:rsid w:val="0011687A"/>
    <w:rsid w:val="00120CCC"/>
    <w:rsid w:val="00126738"/>
    <w:rsid w:val="00130909"/>
    <w:rsid w:val="00142699"/>
    <w:rsid w:val="00142DB6"/>
    <w:rsid w:val="00143B48"/>
    <w:rsid w:val="00145E1C"/>
    <w:rsid w:val="00151F64"/>
    <w:rsid w:val="00170649"/>
    <w:rsid w:val="00172F57"/>
    <w:rsid w:val="00174452"/>
    <w:rsid w:val="001773D2"/>
    <w:rsid w:val="001802E2"/>
    <w:rsid w:val="00190CCF"/>
    <w:rsid w:val="00192227"/>
    <w:rsid w:val="00196D1C"/>
    <w:rsid w:val="001A0446"/>
    <w:rsid w:val="001A17D4"/>
    <w:rsid w:val="001A1FDF"/>
    <w:rsid w:val="001A249B"/>
    <w:rsid w:val="001A4030"/>
    <w:rsid w:val="001A4079"/>
    <w:rsid w:val="001A6998"/>
    <w:rsid w:val="001B2797"/>
    <w:rsid w:val="001C5FD4"/>
    <w:rsid w:val="001C7FB1"/>
    <w:rsid w:val="001E16D3"/>
    <w:rsid w:val="001E567E"/>
    <w:rsid w:val="001F224F"/>
    <w:rsid w:val="001F5B86"/>
    <w:rsid w:val="001F609C"/>
    <w:rsid w:val="00200430"/>
    <w:rsid w:val="002017C1"/>
    <w:rsid w:val="00202224"/>
    <w:rsid w:val="00206006"/>
    <w:rsid w:val="00211E68"/>
    <w:rsid w:val="00213B89"/>
    <w:rsid w:val="00215788"/>
    <w:rsid w:val="00215EB7"/>
    <w:rsid w:val="002178CE"/>
    <w:rsid w:val="00221CCD"/>
    <w:rsid w:val="00227077"/>
    <w:rsid w:val="00234CD4"/>
    <w:rsid w:val="002365EC"/>
    <w:rsid w:val="00244A3B"/>
    <w:rsid w:val="002465AB"/>
    <w:rsid w:val="00252631"/>
    <w:rsid w:val="00254262"/>
    <w:rsid w:val="00255962"/>
    <w:rsid w:val="00255A0C"/>
    <w:rsid w:val="00261162"/>
    <w:rsid w:val="0027658B"/>
    <w:rsid w:val="00284011"/>
    <w:rsid w:val="002845EF"/>
    <w:rsid w:val="002957A2"/>
    <w:rsid w:val="00295865"/>
    <w:rsid w:val="002A1221"/>
    <w:rsid w:val="002A2C84"/>
    <w:rsid w:val="002B0B65"/>
    <w:rsid w:val="002C4013"/>
    <w:rsid w:val="002D2F07"/>
    <w:rsid w:val="002D42DB"/>
    <w:rsid w:val="002D5497"/>
    <w:rsid w:val="002D5DEE"/>
    <w:rsid w:val="002E0212"/>
    <w:rsid w:val="002E1D01"/>
    <w:rsid w:val="002E48CE"/>
    <w:rsid w:val="002E78AE"/>
    <w:rsid w:val="002F1DC1"/>
    <w:rsid w:val="002F6E30"/>
    <w:rsid w:val="00307321"/>
    <w:rsid w:val="003138B1"/>
    <w:rsid w:val="00315AB5"/>
    <w:rsid w:val="003353DE"/>
    <w:rsid w:val="003428F1"/>
    <w:rsid w:val="003452DC"/>
    <w:rsid w:val="003521A9"/>
    <w:rsid w:val="003628CF"/>
    <w:rsid w:val="00364E0B"/>
    <w:rsid w:val="00371DA3"/>
    <w:rsid w:val="00375B5C"/>
    <w:rsid w:val="00383B65"/>
    <w:rsid w:val="00390497"/>
    <w:rsid w:val="00392C8F"/>
    <w:rsid w:val="00394FF5"/>
    <w:rsid w:val="003A0F87"/>
    <w:rsid w:val="003A5CD2"/>
    <w:rsid w:val="003A7996"/>
    <w:rsid w:val="003B7B58"/>
    <w:rsid w:val="003C1197"/>
    <w:rsid w:val="003C1AB8"/>
    <w:rsid w:val="003C221D"/>
    <w:rsid w:val="003C5B35"/>
    <w:rsid w:val="003C62A3"/>
    <w:rsid w:val="003D0570"/>
    <w:rsid w:val="003D1DB9"/>
    <w:rsid w:val="003D243C"/>
    <w:rsid w:val="003D270A"/>
    <w:rsid w:val="003D5640"/>
    <w:rsid w:val="003D7229"/>
    <w:rsid w:val="003E0C5B"/>
    <w:rsid w:val="003E3362"/>
    <w:rsid w:val="003E54B0"/>
    <w:rsid w:val="003E567D"/>
    <w:rsid w:val="003F387F"/>
    <w:rsid w:val="00402ACD"/>
    <w:rsid w:val="0040487D"/>
    <w:rsid w:val="004132FA"/>
    <w:rsid w:val="004148A2"/>
    <w:rsid w:val="004165C2"/>
    <w:rsid w:val="0042130C"/>
    <w:rsid w:val="0042379F"/>
    <w:rsid w:val="00433D42"/>
    <w:rsid w:val="00436960"/>
    <w:rsid w:val="0045063E"/>
    <w:rsid w:val="004528EA"/>
    <w:rsid w:val="004623D7"/>
    <w:rsid w:val="00466871"/>
    <w:rsid w:val="00466C1D"/>
    <w:rsid w:val="004706E7"/>
    <w:rsid w:val="00471FF2"/>
    <w:rsid w:val="00480D2B"/>
    <w:rsid w:val="00481682"/>
    <w:rsid w:val="00482132"/>
    <w:rsid w:val="00483B34"/>
    <w:rsid w:val="00483BB6"/>
    <w:rsid w:val="0048740A"/>
    <w:rsid w:val="00496EE8"/>
    <w:rsid w:val="004A0495"/>
    <w:rsid w:val="004A4F58"/>
    <w:rsid w:val="004A541E"/>
    <w:rsid w:val="004C25A1"/>
    <w:rsid w:val="004C548F"/>
    <w:rsid w:val="004D4BFF"/>
    <w:rsid w:val="004D6E23"/>
    <w:rsid w:val="004E0E6F"/>
    <w:rsid w:val="004E3669"/>
    <w:rsid w:val="004F1041"/>
    <w:rsid w:val="004F2934"/>
    <w:rsid w:val="004F55D0"/>
    <w:rsid w:val="004F6300"/>
    <w:rsid w:val="005024F1"/>
    <w:rsid w:val="0050564F"/>
    <w:rsid w:val="005072C1"/>
    <w:rsid w:val="00521ABD"/>
    <w:rsid w:val="00521B20"/>
    <w:rsid w:val="00523F77"/>
    <w:rsid w:val="0053498C"/>
    <w:rsid w:val="005370BC"/>
    <w:rsid w:val="00543EB9"/>
    <w:rsid w:val="005511D9"/>
    <w:rsid w:val="005525CB"/>
    <w:rsid w:val="00563BF7"/>
    <w:rsid w:val="00565105"/>
    <w:rsid w:val="00572888"/>
    <w:rsid w:val="005765B4"/>
    <w:rsid w:val="00583362"/>
    <w:rsid w:val="00592BC9"/>
    <w:rsid w:val="00593DE5"/>
    <w:rsid w:val="005A0D5C"/>
    <w:rsid w:val="005A56D8"/>
    <w:rsid w:val="005B574E"/>
    <w:rsid w:val="005C1EAB"/>
    <w:rsid w:val="005C2E46"/>
    <w:rsid w:val="005C4290"/>
    <w:rsid w:val="005C42FC"/>
    <w:rsid w:val="005D4645"/>
    <w:rsid w:val="005D5B9D"/>
    <w:rsid w:val="005D7AC7"/>
    <w:rsid w:val="005E19F7"/>
    <w:rsid w:val="005E2C1A"/>
    <w:rsid w:val="005E5004"/>
    <w:rsid w:val="005F5330"/>
    <w:rsid w:val="005F535E"/>
    <w:rsid w:val="005F5695"/>
    <w:rsid w:val="005F63AF"/>
    <w:rsid w:val="005F67CA"/>
    <w:rsid w:val="00610569"/>
    <w:rsid w:val="00614E5B"/>
    <w:rsid w:val="00615EB6"/>
    <w:rsid w:val="006217F3"/>
    <w:rsid w:val="006267F1"/>
    <w:rsid w:val="00642B4B"/>
    <w:rsid w:val="006435A2"/>
    <w:rsid w:val="00644E77"/>
    <w:rsid w:val="00645454"/>
    <w:rsid w:val="00646C25"/>
    <w:rsid w:val="0065095A"/>
    <w:rsid w:val="0065167F"/>
    <w:rsid w:val="00651C32"/>
    <w:rsid w:val="00653024"/>
    <w:rsid w:val="006575B2"/>
    <w:rsid w:val="006625DC"/>
    <w:rsid w:val="00671BCE"/>
    <w:rsid w:val="00676BEB"/>
    <w:rsid w:val="006802B2"/>
    <w:rsid w:val="006807EE"/>
    <w:rsid w:val="00682D9F"/>
    <w:rsid w:val="00682ED6"/>
    <w:rsid w:val="00685D8F"/>
    <w:rsid w:val="006874EB"/>
    <w:rsid w:val="00690CD3"/>
    <w:rsid w:val="006A192E"/>
    <w:rsid w:val="006A320E"/>
    <w:rsid w:val="006A3213"/>
    <w:rsid w:val="006A672C"/>
    <w:rsid w:val="006B2C57"/>
    <w:rsid w:val="006B7973"/>
    <w:rsid w:val="006C29EF"/>
    <w:rsid w:val="006C60A0"/>
    <w:rsid w:val="006D422D"/>
    <w:rsid w:val="006E5F28"/>
    <w:rsid w:val="006F005D"/>
    <w:rsid w:val="00700FC4"/>
    <w:rsid w:val="0071754D"/>
    <w:rsid w:val="00721024"/>
    <w:rsid w:val="007221F8"/>
    <w:rsid w:val="00744C68"/>
    <w:rsid w:val="00746F1B"/>
    <w:rsid w:val="007504F6"/>
    <w:rsid w:val="00750F2E"/>
    <w:rsid w:val="00752360"/>
    <w:rsid w:val="0075323E"/>
    <w:rsid w:val="00761D62"/>
    <w:rsid w:val="007633CA"/>
    <w:rsid w:val="00786451"/>
    <w:rsid w:val="007866BA"/>
    <w:rsid w:val="007914BD"/>
    <w:rsid w:val="00792E91"/>
    <w:rsid w:val="00794798"/>
    <w:rsid w:val="0079604D"/>
    <w:rsid w:val="007A5B5D"/>
    <w:rsid w:val="007B03C5"/>
    <w:rsid w:val="007B5DB7"/>
    <w:rsid w:val="007B7F07"/>
    <w:rsid w:val="007C20E8"/>
    <w:rsid w:val="007C2220"/>
    <w:rsid w:val="007D01B9"/>
    <w:rsid w:val="007D2AFB"/>
    <w:rsid w:val="007E37A3"/>
    <w:rsid w:val="007E53FC"/>
    <w:rsid w:val="007F12DB"/>
    <w:rsid w:val="007F31E9"/>
    <w:rsid w:val="007F60DE"/>
    <w:rsid w:val="00802EF4"/>
    <w:rsid w:val="0081021D"/>
    <w:rsid w:val="0081481B"/>
    <w:rsid w:val="0081700F"/>
    <w:rsid w:val="008218C2"/>
    <w:rsid w:val="00821F59"/>
    <w:rsid w:val="00825D64"/>
    <w:rsid w:val="00826B1C"/>
    <w:rsid w:val="008277AA"/>
    <w:rsid w:val="00827AFE"/>
    <w:rsid w:val="00832775"/>
    <w:rsid w:val="00836463"/>
    <w:rsid w:val="00845BC8"/>
    <w:rsid w:val="00846437"/>
    <w:rsid w:val="0085066C"/>
    <w:rsid w:val="00850F25"/>
    <w:rsid w:val="00852F3D"/>
    <w:rsid w:val="00866D15"/>
    <w:rsid w:val="00867B8C"/>
    <w:rsid w:val="00872193"/>
    <w:rsid w:val="00874244"/>
    <w:rsid w:val="00885CBF"/>
    <w:rsid w:val="00891D62"/>
    <w:rsid w:val="008968A7"/>
    <w:rsid w:val="008A1340"/>
    <w:rsid w:val="008A1CC3"/>
    <w:rsid w:val="008A1DE4"/>
    <w:rsid w:val="008A281C"/>
    <w:rsid w:val="008A2D1E"/>
    <w:rsid w:val="008A7B27"/>
    <w:rsid w:val="008B09FC"/>
    <w:rsid w:val="008D2BD3"/>
    <w:rsid w:val="008D4849"/>
    <w:rsid w:val="008D7ECF"/>
    <w:rsid w:val="008E1A6D"/>
    <w:rsid w:val="008E7CE6"/>
    <w:rsid w:val="008F1031"/>
    <w:rsid w:val="008F16A0"/>
    <w:rsid w:val="008F4218"/>
    <w:rsid w:val="0090048F"/>
    <w:rsid w:val="00901246"/>
    <w:rsid w:val="00904090"/>
    <w:rsid w:val="00912708"/>
    <w:rsid w:val="009211E6"/>
    <w:rsid w:val="00934A14"/>
    <w:rsid w:val="00934DCC"/>
    <w:rsid w:val="00934EE2"/>
    <w:rsid w:val="00937022"/>
    <w:rsid w:val="00937356"/>
    <w:rsid w:val="00947DC2"/>
    <w:rsid w:val="00952033"/>
    <w:rsid w:val="009567FA"/>
    <w:rsid w:val="00960B71"/>
    <w:rsid w:val="00963F2E"/>
    <w:rsid w:val="009644E6"/>
    <w:rsid w:val="00972E60"/>
    <w:rsid w:val="009734CD"/>
    <w:rsid w:val="00974B9C"/>
    <w:rsid w:val="00983CF6"/>
    <w:rsid w:val="009863BF"/>
    <w:rsid w:val="009905FC"/>
    <w:rsid w:val="009917F6"/>
    <w:rsid w:val="009929E8"/>
    <w:rsid w:val="00993567"/>
    <w:rsid w:val="00993FD3"/>
    <w:rsid w:val="00995FBD"/>
    <w:rsid w:val="009A3F3F"/>
    <w:rsid w:val="009A5DCD"/>
    <w:rsid w:val="009B3BC3"/>
    <w:rsid w:val="009C3463"/>
    <w:rsid w:val="009D0832"/>
    <w:rsid w:val="009D1112"/>
    <w:rsid w:val="009D2683"/>
    <w:rsid w:val="009E33F7"/>
    <w:rsid w:val="009E4F43"/>
    <w:rsid w:val="009E553B"/>
    <w:rsid w:val="00A05572"/>
    <w:rsid w:val="00A06817"/>
    <w:rsid w:val="00A107F3"/>
    <w:rsid w:val="00A2155E"/>
    <w:rsid w:val="00A30B63"/>
    <w:rsid w:val="00A36055"/>
    <w:rsid w:val="00A44BEA"/>
    <w:rsid w:val="00A45009"/>
    <w:rsid w:val="00A45B1E"/>
    <w:rsid w:val="00A506A1"/>
    <w:rsid w:val="00A52194"/>
    <w:rsid w:val="00A5360B"/>
    <w:rsid w:val="00A56489"/>
    <w:rsid w:val="00A626D2"/>
    <w:rsid w:val="00A66AD2"/>
    <w:rsid w:val="00A7430C"/>
    <w:rsid w:val="00A87988"/>
    <w:rsid w:val="00A9244B"/>
    <w:rsid w:val="00AA2BC5"/>
    <w:rsid w:val="00AB2D9E"/>
    <w:rsid w:val="00AB3DB1"/>
    <w:rsid w:val="00AB55BE"/>
    <w:rsid w:val="00AB5791"/>
    <w:rsid w:val="00AB70C8"/>
    <w:rsid w:val="00AC06E2"/>
    <w:rsid w:val="00AC1197"/>
    <w:rsid w:val="00AC6160"/>
    <w:rsid w:val="00AC7272"/>
    <w:rsid w:val="00AD1D43"/>
    <w:rsid w:val="00AD3D78"/>
    <w:rsid w:val="00AD71BC"/>
    <w:rsid w:val="00AE78A3"/>
    <w:rsid w:val="00AF6A7E"/>
    <w:rsid w:val="00B00940"/>
    <w:rsid w:val="00B062D6"/>
    <w:rsid w:val="00B0659C"/>
    <w:rsid w:val="00B23AA4"/>
    <w:rsid w:val="00B23C12"/>
    <w:rsid w:val="00B31BF9"/>
    <w:rsid w:val="00B3327F"/>
    <w:rsid w:val="00B339D0"/>
    <w:rsid w:val="00B34607"/>
    <w:rsid w:val="00B34E47"/>
    <w:rsid w:val="00B44C0A"/>
    <w:rsid w:val="00B60B0A"/>
    <w:rsid w:val="00B64FAA"/>
    <w:rsid w:val="00B65B00"/>
    <w:rsid w:val="00B706D0"/>
    <w:rsid w:val="00B75E14"/>
    <w:rsid w:val="00B77F38"/>
    <w:rsid w:val="00B8235B"/>
    <w:rsid w:val="00B84149"/>
    <w:rsid w:val="00B90B4C"/>
    <w:rsid w:val="00BA3E71"/>
    <w:rsid w:val="00BA5915"/>
    <w:rsid w:val="00BA5A5B"/>
    <w:rsid w:val="00BA67A2"/>
    <w:rsid w:val="00BA6D0C"/>
    <w:rsid w:val="00BB2976"/>
    <w:rsid w:val="00BC09FF"/>
    <w:rsid w:val="00BC1221"/>
    <w:rsid w:val="00BD3E49"/>
    <w:rsid w:val="00BD5BC9"/>
    <w:rsid w:val="00BD5FFA"/>
    <w:rsid w:val="00BE2BC8"/>
    <w:rsid w:val="00BE7AEF"/>
    <w:rsid w:val="00BF33AF"/>
    <w:rsid w:val="00BF6B44"/>
    <w:rsid w:val="00BF6DC2"/>
    <w:rsid w:val="00C10227"/>
    <w:rsid w:val="00C12390"/>
    <w:rsid w:val="00C2201C"/>
    <w:rsid w:val="00C236BC"/>
    <w:rsid w:val="00C26F6E"/>
    <w:rsid w:val="00C33C19"/>
    <w:rsid w:val="00C37E9E"/>
    <w:rsid w:val="00C40A87"/>
    <w:rsid w:val="00C419E5"/>
    <w:rsid w:val="00C52EAF"/>
    <w:rsid w:val="00C54917"/>
    <w:rsid w:val="00C61C36"/>
    <w:rsid w:val="00C62E18"/>
    <w:rsid w:val="00C76245"/>
    <w:rsid w:val="00C76F24"/>
    <w:rsid w:val="00C8593C"/>
    <w:rsid w:val="00C87FD5"/>
    <w:rsid w:val="00C920F1"/>
    <w:rsid w:val="00C93981"/>
    <w:rsid w:val="00C94D0D"/>
    <w:rsid w:val="00C96600"/>
    <w:rsid w:val="00CA4C48"/>
    <w:rsid w:val="00CA7D0A"/>
    <w:rsid w:val="00CB4310"/>
    <w:rsid w:val="00CC20BF"/>
    <w:rsid w:val="00CC2CC4"/>
    <w:rsid w:val="00CC5703"/>
    <w:rsid w:val="00CC7A82"/>
    <w:rsid w:val="00CD2B7B"/>
    <w:rsid w:val="00CD7294"/>
    <w:rsid w:val="00CE3021"/>
    <w:rsid w:val="00CE4F67"/>
    <w:rsid w:val="00CF0168"/>
    <w:rsid w:val="00CF2B4B"/>
    <w:rsid w:val="00CF32A2"/>
    <w:rsid w:val="00CF63CE"/>
    <w:rsid w:val="00D01DF2"/>
    <w:rsid w:val="00D05B74"/>
    <w:rsid w:val="00D12D73"/>
    <w:rsid w:val="00D15D8C"/>
    <w:rsid w:val="00D22827"/>
    <w:rsid w:val="00D22D65"/>
    <w:rsid w:val="00D242F2"/>
    <w:rsid w:val="00D31CCF"/>
    <w:rsid w:val="00D3531C"/>
    <w:rsid w:val="00D4192A"/>
    <w:rsid w:val="00D463B7"/>
    <w:rsid w:val="00D502EB"/>
    <w:rsid w:val="00D5145E"/>
    <w:rsid w:val="00D548A5"/>
    <w:rsid w:val="00D56C1F"/>
    <w:rsid w:val="00D60424"/>
    <w:rsid w:val="00D731E3"/>
    <w:rsid w:val="00D77760"/>
    <w:rsid w:val="00D865E4"/>
    <w:rsid w:val="00D8748E"/>
    <w:rsid w:val="00D94485"/>
    <w:rsid w:val="00D97C2C"/>
    <w:rsid w:val="00DA1F72"/>
    <w:rsid w:val="00DA776A"/>
    <w:rsid w:val="00DB29EC"/>
    <w:rsid w:val="00DB4115"/>
    <w:rsid w:val="00DB62A6"/>
    <w:rsid w:val="00DC10E7"/>
    <w:rsid w:val="00DC25DB"/>
    <w:rsid w:val="00DC7175"/>
    <w:rsid w:val="00DD4836"/>
    <w:rsid w:val="00DE14B1"/>
    <w:rsid w:val="00DF15A9"/>
    <w:rsid w:val="00DF38B9"/>
    <w:rsid w:val="00DF7BDC"/>
    <w:rsid w:val="00DF7F98"/>
    <w:rsid w:val="00E14D14"/>
    <w:rsid w:val="00E16E42"/>
    <w:rsid w:val="00E21637"/>
    <w:rsid w:val="00E35C4C"/>
    <w:rsid w:val="00E36123"/>
    <w:rsid w:val="00E367ED"/>
    <w:rsid w:val="00E42E75"/>
    <w:rsid w:val="00E606BA"/>
    <w:rsid w:val="00E648AB"/>
    <w:rsid w:val="00E66117"/>
    <w:rsid w:val="00E679F7"/>
    <w:rsid w:val="00E72550"/>
    <w:rsid w:val="00E72592"/>
    <w:rsid w:val="00E81218"/>
    <w:rsid w:val="00E83718"/>
    <w:rsid w:val="00E840A3"/>
    <w:rsid w:val="00E93BBB"/>
    <w:rsid w:val="00EA358F"/>
    <w:rsid w:val="00EA5656"/>
    <w:rsid w:val="00EB12AE"/>
    <w:rsid w:val="00EB3822"/>
    <w:rsid w:val="00EB3A98"/>
    <w:rsid w:val="00EC2FBF"/>
    <w:rsid w:val="00EC55F1"/>
    <w:rsid w:val="00EC7768"/>
    <w:rsid w:val="00EC7C86"/>
    <w:rsid w:val="00ED0BA2"/>
    <w:rsid w:val="00ED0D35"/>
    <w:rsid w:val="00EE1988"/>
    <w:rsid w:val="00EF4598"/>
    <w:rsid w:val="00EF5AD6"/>
    <w:rsid w:val="00EF7932"/>
    <w:rsid w:val="00F03CBB"/>
    <w:rsid w:val="00F0477A"/>
    <w:rsid w:val="00F069ED"/>
    <w:rsid w:val="00F10515"/>
    <w:rsid w:val="00F14F8C"/>
    <w:rsid w:val="00F20CC2"/>
    <w:rsid w:val="00F242A5"/>
    <w:rsid w:val="00F25BDA"/>
    <w:rsid w:val="00F30A1E"/>
    <w:rsid w:val="00F41ED1"/>
    <w:rsid w:val="00F433FF"/>
    <w:rsid w:val="00F441AD"/>
    <w:rsid w:val="00F453D6"/>
    <w:rsid w:val="00F47F96"/>
    <w:rsid w:val="00F509E7"/>
    <w:rsid w:val="00F516EC"/>
    <w:rsid w:val="00F52154"/>
    <w:rsid w:val="00F67C67"/>
    <w:rsid w:val="00F73120"/>
    <w:rsid w:val="00F738F4"/>
    <w:rsid w:val="00F73DB2"/>
    <w:rsid w:val="00F81228"/>
    <w:rsid w:val="00F82DB4"/>
    <w:rsid w:val="00F83601"/>
    <w:rsid w:val="00F8667C"/>
    <w:rsid w:val="00F86D70"/>
    <w:rsid w:val="00F87C53"/>
    <w:rsid w:val="00F91DB6"/>
    <w:rsid w:val="00F92FDA"/>
    <w:rsid w:val="00F949C9"/>
    <w:rsid w:val="00F9676E"/>
    <w:rsid w:val="00F97342"/>
    <w:rsid w:val="00FA00F5"/>
    <w:rsid w:val="00FA695C"/>
    <w:rsid w:val="00FC152B"/>
    <w:rsid w:val="00FD1EED"/>
    <w:rsid w:val="00FD423A"/>
    <w:rsid w:val="00FD6343"/>
    <w:rsid w:val="00FD7D4D"/>
    <w:rsid w:val="00FE26DE"/>
    <w:rsid w:val="00FF1FFF"/>
    <w:rsid w:val="00FF4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0288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593C"/>
    <w:rPr>
      <w:rFonts w:ascii="Times New Roman" w:hAnsi="Times New Roman" w:cs="Times New Roman"/>
      <w:sz w:val="24"/>
      <w:szCs w:val="24"/>
    </w:rPr>
  </w:style>
  <w:style w:type="paragraph" w:styleId="Heading1">
    <w:name w:val="heading 1"/>
    <w:basedOn w:val="Normal"/>
    <w:next w:val="BodyText"/>
    <w:link w:val="Heading1Char"/>
    <w:rsid w:val="00075E2D"/>
    <w:pPr>
      <w:keepNext/>
      <w:keepLines/>
      <w:spacing w:before="400" w:after="200"/>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outlineLvl w:val="1"/>
    </w:pPr>
    <w:rPr>
      <w:rFonts w:asciiTheme="majorHAnsi" w:eastAsiaTheme="majorEastAsia" w:hAnsiTheme="majorHAnsi" w:cstheme="majorBidi"/>
      <w:bCs/>
      <w:color w:val="405242" w:themeColor="accent1"/>
      <w:sz w:val="22"/>
      <w:szCs w:val="22"/>
    </w:rPr>
  </w:style>
  <w:style w:type="paragraph" w:styleId="Heading3">
    <w:name w:val="heading 3"/>
    <w:basedOn w:val="Normal"/>
    <w:next w:val="Normal"/>
    <w:link w:val="Heading3Char"/>
    <w:semiHidden/>
    <w:unhideWhenUsed/>
    <w:qFormat/>
    <w:rsid w:val="00075E2D"/>
    <w:pPr>
      <w:keepNext/>
      <w:keepLines/>
      <w:spacing w:before="200" w:line="300" w:lineRule="auto"/>
      <w:outlineLvl w:val="2"/>
    </w:pPr>
    <w:rPr>
      <w:rFonts w:asciiTheme="majorHAnsi" w:eastAsiaTheme="majorEastAsia" w:hAnsiTheme="majorHAnsi" w:cstheme="majorBidi"/>
      <w:b/>
      <w:bCs/>
      <w:color w:val="405242" w:themeColor="accent1"/>
      <w:sz w:val="20"/>
      <w:szCs w:val="22"/>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line="300" w:lineRule="auto"/>
    </w:pPr>
    <w:rPr>
      <w:rFonts w:asciiTheme="minorHAnsi" w:hAnsiTheme="minorHAnsi" w:cstheme="minorBidi"/>
      <w:sz w:val="20"/>
      <w:szCs w:val="22"/>
    </w:r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line="300" w:lineRule="auto"/>
      <w:jc w:val="right"/>
    </w:pPr>
    <w:rPr>
      <w:rFonts w:asciiTheme="minorHAnsi" w:hAnsiTheme="minorHAnsi" w:cstheme="minorBidi"/>
      <w:color w:val="377933" w:themeColor="accent2"/>
      <w:sz w:val="20"/>
      <w:szCs w:val="2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pPr>
    <w:rPr>
      <w:rFonts w:asciiTheme="minorHAnsi" w:hAnsiTheme="minorHAnsi" w:cstheme="minorBidi"/>
      <w:color w:val="405242" w:themeColor="accent1"/>
      <w:sz w:val="18"/>
      <w:szCs w:val="18"/>
    </w:rPr>
  </w:style>
  <w:style w:type="paragraph" w:customStyle="1" w:styleId="Boxes">
    <w:name w:val="Boxes"/>
    <w:basedOn w:val="Normal"/>
    <w:rsid w:val="00075E2D"/>
    <w:pPr>
      <w:jc w:val="right"/>
    </w:pPr>
    <w:rPr>
      <w:rFonts w:asciiTheme="minorHAnsi" w:hAnsiTheme="minorHAnsi" w:cstheme="minorBidi"/>
      <w:sz w:val="20"/>
      <w:szCs w:val="22"/>
    </w:rPr>
  </w:style>
  <w:style w:type="paragraph" w:styleId="BodyText">
    <w:name w:val="Body Text"/>
    <w:basedOn w:val="Normal"/>
    <w:link w:val="BodyTextChar"/>
    <w:rsid w:val="00075E2D"/>
    <w:pPr>
      <w:spacing w:after="200" w:line="300" w:lineRule="auto"/>
    </w:pPr>
    <w:rPr>
      <w:rFonts w:asciiTheme="minorHAnsi" w:hAnsiTheme="minorHAnsi" w:cstheme="minorBidi"/>
      <w:sz w:val="20"/>
      <w:szCs w:val="22"/>
    </w:r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spacing w:line="300" w:lineRule="auto"/>
      <w:ind w:left="288" w:hanging="288"/>
      <w:contextualSpacing/>
    </w:pPr>
    <w:rPr>
      <w:rFonts w:asciiTheme="minorHAnsi" w:hAnsiTheme="minorHAnsi" w:cstheme="minorBidi"/>
      <w:sz w:val="20"/>
      <w:szCs w:val="22"/>
    </w:rPr>
  </w:style>
  <w:style w:type="paragraph" w:styleId="BalloonText">
    <w:name w:val="Balloon Text"/>
    <w:basedOn w:val="Normal"/>
    <w:link w:val="BalloonTextChar"/>
    <w:semiHidden/>
    <w:unhideWhenUsed/>
    <w:rsid w:val="00075E2D"/>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pPr>
    <w:rPr>
      <w:b/>
      <w:bCs/>
      <w:color w:val="405242" w:themeColor="accent1"/>
      <w:sz w:val="18"/>
      <w:szCs w:val="18"/>
    </w:rPr>
  </w:style>
  <w:style w:type="paragraph" w:styleId="Closing">
    <w:name w:val="Closing"/>
    <w:basedOn w:val="Normal"/>
    <w:link w:val="ClosingChar"/>
    <w:semiHidden/>
    <w:unhideWhenUsed/>
    <w:rsid w:val="00075E2D"/>
    <w:pPr>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unhideWhenUsed/>
    <w:rsid w:val="00075E2D"/>
    <w:rPr>
      <w:szCs w:val="20"/>
    </w:rPr>
  </w:style>
  <w:style w:type="character" w:customStyle="1" w:styleId="CommentTextChar">
    <w:name w:val="Comment Text Char"/>
    <w:basedOn w:val="DefaultParagraphFont"/>
    <w:link w:val="CommentText"/>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075E2D"/>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ind w:left="200" w:hanging="200"/>
    </w:pPr>
    <w:rPr>
      <w:rFonts w:asciiTheme="minorHAnsi" w:hAnsiTheme="minorHAnsi" w:cstheme="minorBidi"/>
      <w:sz w:val="20"/>
      <w:szCs w:val="22"/>
    </w:rPr>
  </w:style>
  <w:style w:type="paragraph" w:styleId="Index2">
    <w:name w:val="index 2"/>
    <w:basedOn w:val="Normal"/>
    <w:next w:val="Normal"/>
    <w:autoRedefine/>
    <w:semiHidden/>
    <w:unhideWhenUsed/>
    <w:rsid w:val="00075E2D"/>
    <w:pPr>
      <w:ind w:left="400" w:hanging="200"/>
    </w:pPr>
  </w:style>
  <w:style w:type="paragraph" w:styleId="Index3">
    <w:name w:val="index 3"/>
    <w:basedOn w:val="Normal"/>
    <w:next w:val="Normal"/>
    <w:autoRedefine/>
    <w:semiHidden/>
    <w:unhideWhenUsed/>
    <w:rsid w:val="00075E2D"/>
    <w:pPr>
      <w:ind w:left="600" w:hanging="200"/>
    </w:pPr>
  </w:style>
  <w:style w:type="paragraph" w:styleId="Index4">
    <w:name w:val="index 4"/>
    <w:basedOn w:val="Normal"/>
    <w:next w:val="Normal"/>
    <w:autoRedefine/>
    <w:semiHidden/>
    <w:unhideWhenUsed/>
    <w:rsid w:val="00075E2D"/>
    <w:pPr>
      <w:ind w:left="800" w:hanging="200"/>
    </w:pPr>
  </w:style>
  <w:style w:type="paragraph" w:styleId="Index5">
    <w:name w:val="index 5"/>
    <w:basedOn w:val="Normal"/>
    <w:next w:val="Normal"/>
    <w:autoRedefine/>
    <w:semiHidden/>
    <w:unhideWhenUsed/>
    <w:rsid w:val="00075E2D"/>
    <w:pPr>
      <w:ind w:left="1000" w:hanging="200"/>
    </w:pPr>
  </w:style>
  <w:style w:type="paragraph" w:styleId="Index6">
    <w:name w:val="index 6"/>
    <w:basedOn w:val="Normal"/>
    <w:next w:val="Normal"/>
    <w:autoRedefine/>
    <w:semiHidden/>
    <w:unhideWhenUsed/>
    <w:rsid w:val="00075E2D"/>
    <w:pPr>
      <w:ind w:left="1200" w:hanging="200"/>
    </w:pPr>
  </w:style>
  <w:style w:type="paragraph" w:styleId="Index7">
    <w:name w:val="index 7"/>
    <w:basedOn w:val="Normal"/>
    <w:next w:val="Normal"/>
    <w:autoRedefine/>
    <w:semiHidden/>
    <w:unhideWhenUsed/>
    <w:rsid w:val="00075E2D"/>
    <w:pPr>
      <w:ind w:left="1400" w:hanging="200"/>
    </w:pPr>
  </w:style>
  <w:style w:type="paragraph" w:styleId="Index8">
    <w:name w:val="index 8"/>
    <w:basedOn w:val="Normal"/>
    <w:next w:val="Normal"/>
    <w:autoRedefine/>
    <w:semiHidden/>
    <w:unhideWhenUsed/>
    <w:rsid w:val="00075E2D"/>
    <w:pPr>
      <w:ind w:left="1600" w:hanging="200"/>
    </w:pPr>
  </w:style>
  <w:style w:type="paragraph" w:styleId="Index9">
    <w:name w:val="index 9"/>
    <w:basedOn w:val="Normal"/>
    <w:next w:val="Normal"/>
    <w:autoRedefine/>
    <w:semiHidden/>
    <w:unhideWhenUsed/>
    <w:rsid w:val="00075E2D"/>
    <w:pPr>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line="300" w:lineRule="auto"/>
      <w:ind w:left="936" w:right="936"/>
    </w:pPr>
    <w:rPr>
      <w:rFonts w:asciiTheme="minorHAnsi" w:hAnsiTheme="minorHAnsi" w:cstheme="minorBidi"/>
      <w:b/>
      <w:bCs/>
      <w:i/>
      <w:iCs/>
      <w:color w:val="405242" w:themeColor="accent1"/>
      <w:sz w:val="20"/>
      <w:szCs w:val="22"/>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spacing w:line="300" w:lineRule="auto"/>
      <w:ind w:left="360" w:hanging="360"/>
      <w:contextualSpacing/>
    </w:pPr>
    <w:rPr>
      <w:rFonts w:asciiTheme="minorHAnsi" w:hAnsiTheme="minorHAnsi" w:cstheme="minorBidi"/>
      <w:sz w:val="20"/>
      <w:szCs w:val="22"/>
    </w:r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spacing w:line="300" w:lineRule="auto"/>
      <w:ind w:left="720"/>
      <w:contextualSpacing/>
    </w:pPr>
    <w:rPr>
      <w:rFonts w:asciiTheme="minorHAnsi" w:hAnsiTheme="minorHAnsi" w:cstheme="minorBidi"/>
      <w:sz w:val="20"/>
      <w:szCs w:val="22"/>
    </w:r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style>
  <w:style w:type="paragraph" w:styleId="NormalIndent">
    <w:name w:val="Normal Indent"/>
    <w:basedOn w:val="Normal"/>
    <w:semiHidden/>
    <w:unhideWhenUsed/>
    <w:rsid w:val="00075E2D"/>
    <w:pPr>
      <w:spacing w:line="300" w:lineRule="auto"/>
      <w:ind w:left="720"/>
    </w:pPr>
    <w:rPr>
      <w:rFonts w:asciiTheme="minorHAnsi" w:hAnsiTheme="minorHAnsi" w:cstheme="minorBidi"/>
      <w:sz w:val="20"/>
      <w:szCs w:val="22"/>
    </w:rPr>
  </w:style>
  <w:style w:type="paragraph" w:styleId="NoteHeading">
    <w:name w:val="Note Heading"/>
    <w:basedOn w:val="Normal"/>
    <w:next w:val="Normal"/>
    <w:link w:val="NoteHeadingChar"/>
    <w:semiHidden/>
    <w:unhideWhenUsed/>
    <w:rsid w:val="00075E2D"/>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pPr>
      <w:spacing w:line="300" w:lineRule="auto"/>
    </w:pPr>
    <w:rPr>
      <w:rFonts w:asciiTheme="minorHAnsi" w:hAnsiTheme="minorHAnsi" w:cstheme="minorBidi"/>
      <w:i/>
      <w:iCs/>
      <w:color w:val="000000" w:themeColor="text1"/>
      <w:sz w:val="20"/>
      <w:szCs w:val="22"/>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spacing w:line="300" w:lineRule="auto"/>
    </w:pPr>
    <w:rPr>
      <w:rFonts w:asciiTheme="majorHAnsi" w:eastAsiaTheme="majorEastAsia" w:hAnsiTheme="majorHAnsi" w:cstheme="majorBidi"/>
      <w:i/>
      <w:iCs/>
      <w:color w:val="405242" w:themeColor="accent1"/>
      <w:spacing w:val="15"/>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075E2D"/>
    <w:pPr>
      <w:spacing w:after="100" w:line="300" w:lineRule="auto"/>
    </w:pPr>
    <w:rPr>
      <w:rFonts w:asciiTheme="minorHAnsi" w:hAnsiTheme="minorHAnsi" w:cstheme="minorBidi"/>
      <w:sz w:val="20"/>
      <w:szCs w:val="22"/>
    </w:r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PageNumber">
    <w:name w:val="page number"/>
    <w:basedOn w:val="DefaultParagraphFont"/>
    <w:uiPriority w:val="99"/>
    <w:semiHidden/>
    <w:unhideWhenUsed/>
    <w:rsid w:val="00BF33AF"/>
  </w:style>
  <w:style w:type="character" w:styleId="Hyperlink">
    <w:name w:val="Hyperlink"/>
    <w:basedOn w:val="DefaultParagraphFont"/>
    <w:uiPriority w:val="99"/>
    <w:unhideWhenUsed/>
    <w:rsid w:val="00C52EAF"/>
    <w:rPr>
      <w:color w:val="00ED8F" w:themeColor="hyperlink"/>
      <w:u w:val="single"/>
    </w:rPr>
  </w:style>
  <w:style w:type="character" w:styleId="CommentReference">
    <w:name w:val="annotation reference"/>
    <w:basedOn w:val="DefaultParagraphFont"/>
    <w:uiPriority w:val="99"/>
    <w:semiHidden/>
    <w:unhideWhenUsed/>
    <w:rsid w:val="00174452"/>
    <w:rPr>
      <w:sz w:val="18"/>
      <w:szCs w:val="18"/>
    </w:rPr>
  </w:style>
  <w:style w:type="character" w:styleId="UnresolvedMention">
    <w:name w:val="Unresolved Mention"/>
    <w:basedOn w:val="DefaultParagraphFont"/>
    <w:uiPriority w:val="99"/>
    <w:rsid w:val="00E72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4767">
      <w:bodyDiv w:val="1"/>
      <w:marLeft w:val="0"/>
      <w:marRight w:val="0"/>
      <w:marTop w:val="0"/>
      <w:marBottom w:val="0"/>
      <w:divBdr>
        <w:top w:val="none" w:sz="0" w:space="0" w:color="auto"/>
        <w:left w:val="none" w:sz="0" w:space="0" w:color="auto"/>
        <w:bottom w:val="none" w:sz="0" w:space="0" w:color="auto"/>
        <w:right w:val="none" w:sz="0" w:space="0" w:color="auto"/>
      </w:divBdr>
    </w:div>
    <w:div w:id="172916649">
      <w:bodyDiv w:val="1"/>
      <w:marLeft w:val="0"/>
      <w:marRight w:val="0"/>
      <w:marTop w:val="0"/>
      <w:marBottom w:val="0"/>
      <w:divBdr>
        <w:top w:val="none" w:sz="0" w:space="0" w:color="auto"/>
        <w:left w:val="none" w:sz="0" w:space="0" w:color="auto"/>
        <w:bottom w:val="none" w:sz="0" w:space="0" w:color="auto"/>
        <w:right w:val="none" w:sz="0" w:space="0" w:color="auto"/>
      </w:divBdr>
    </w:div>
    <w:div w:id="193230360">
      <w:bodyDiv w:val="1"/>
      <w:marLeft w:val="0"/>
      <w:marRight w:val="0"/>
      <w:marTop w:val="0"/>
      <w:marBottom w:val="0"/>
      <w:divBdr>
        <w:top w:val="none" w:sz="0" w:space="0" w:color="auto"/>
        <w:left w:val="none" w:sz="0" w:space="0" w:color="auto"/>
        <w:bottom w:val="none" w:sz="0" w:space="0" w:color="auto"/>
        <w:right w:val="none" w:sz="0" w:space="0" w:color="auto"/>
      </w:divBdr>
    </w:div>
    <w:div w:id="262495611">
      <w:bodyDiv w:val="1"/>
      <w:marLeft w:val="0"/>
      <w:marRight w:val="0"/>
      <w:marTop w:val="0"/>
      <w:marBottom w:val="0"/>
      <w:divBdr>
        <w:top w:val="none" w:sz="0" w:space="0" w:color="auto"/>
        <w:left w:val="none" w:sz="0" w:space="0" w:color="auto"/>
        <w:bottom w:val="none" w:sz="0" w:space="0" w:color="auto"/>
        <w:right w:val="none" w:sz="0" w:space="0" w:color="auto"/>
      </w:divBdr>
    </w:div>
    <w:div w:id="264505835">
      <w:bodyDiv w:val="1"/>
      <w:marLeft w:val="0"/>
      <w:marRight w:val="0"/>
      <w:marTop w:val="0"/>
      <w:marBottom w:val="0"/>
      <w:divBdr>
        <w:top w:val="none" w:sz="0" w:space="0" w:color="auto"/>
        <w:left w:val="none" w:sz="0" w:space="0" w:color="auto"/>
        <w:bottom w:val="none" w:sz="0" w:space="0" w:color="auto"/>
        <w:right w:val="none" w:sz="0" w:space="0" w:color="auto"/>
      </w:divBdr>
    </w:div>
    <w:div w:id="282730864">
      <w:bodyDiv w:val="1"/>
      <w:marLeft w:val="0"/>
      <w:marRight w:val="0"/>
      <w:marTop w:val="0"/>
      <w:marBottom w:val="0"/>
      <w:divBdr>
        <w:top w:val="none" w:sz="0" w:space="0" w:color="auto"/>
        <w:left w:val="none" w:sz="0" w:space="0" w:color="auto"/>
        <w:bottom w:val="none" w:sz="0" w:space="0" w:color="auto"/>
        <w:right w:val="none" w:sz="0" w:space="0" w:color="auto"/>
      </w:divBdr>
    </w:div>
    <w:div w:id="413283090">
      <w:bodyDiv w:val="1"/>
      <w:marLeft w:val="0"/>
      <w:marRight w:val="0"/>
      <w:marTop w:val="0"/>
      <w:marBottom w:val="0"/>
      <w:divBdr>
        <w:top w:val="none" w:sz="0" w:space="0" w:color="auto"/>
        <w:left w:val="none" w:sz="0" w:space="0" w:color="auto"/>
        <w:bottom w:val="none" w:sz="0" w:space="0" w:color="auto"/>
        <w:right w:val="none" w:sz="0" w:space="0" w:color="auto"/>
      </w:divBdr>
    </w:div>
    <w:div w:id="491678552">
      <w:bodyDiv w:val="1"/>
      <w:marLeft w:val="0"/>
      <w:marRight w:val="0"/>
      <w:marTop w:val="0"/>
      <w:marBottom w:val="0"/>
      <w:divBdr>
        <w:top w:val="none" w:sz="0" w:space="0" w:color="auto"/>
        <w:left w:val="none" w:sz="0" w:space="0" w:color="auto"/>
        <w:bottom w:val="none" w:sz="0" w:space="0" w:color="auto"/>
        <w:right w:val="none" w:sz="0" w:space="0" w:color="auto"/>
      </w:divBdr>
    </w:div>
    <w:div w:id="563688731">
      <w:bodyDiv w:val="1"/>
      <w:marLeft w:val="0"/>
      <w:marRight w:val="0"/>
      <w:marTop w:val="0"/>
      <w:marBottom w:val="0"/>
      <w:divBdr>
        <w:top w:val="none" w:sz="0" w:space="0" w:color="auto"/>
        <w:left w:val="none" w:sz="0" w:space="0" w:color="auto"/>
        <w:bottom w:val="none" w:sz="0" w:space="0" w:color="auto"/>
        <w:right w:val="none" w:sz="0" w:space="0" w:color="auto"/>
      </w:divBdr>
    </w:div>
    <w:div w:id="723911107">
      <w:bodyDiv w:val="1"/>
      <w:marLeft w:val="0"/>
      <w:marRight w:val="0"/>
      <w:marTop w:val="0"/>
      <w:marBottom w:val="0"/>
      <w:divBdr>
        <w:top w:val="none" w:sz="0" w:space="0" w:color="auto"/>
        <w:left w:val="none" w:sz="0" w:space="0" w:color="auto"/>
        <w:bottom w:val="none" w:sz="0" w:space="0" w:color="auto"/>
        <w:right w:val="none" w:sz="0" w:space="0" w:color="auto"/>
      </w:divBdr>
    </w:div>
    <w:div w:id="894971937">
      <w:bodyDiv w:val="1"/>
      <w:marLeft w:val="0"/>
      <w:marRight w:val="0"/>
      <w:marTop w:val="0"/>
      <w:marBottom w:val="0"/>
      <w:divBdr>
        <w:top w:val="none" w:sz="0" w:space="0" w:color="auto"/>
        <w:left w:val="none" w:sz="0" w:space="0" w:color="auto"/>
        <w:bottom w:val="none" w:sz="0" w:space="0" w:color="auto"/>
        <w:right w:val="none" w:sz="0" w:space="0" w:color="auto"/>
      </w:divBdr>
    </w:div>
    <w:div w:id="903834684">
      <w:bodyDiv w:val="1"/>
      <w:marLeft w:val="0"/>
      <w:marRight w:val="0"/>
      <w:marTop w:val="0"/>
      <w:marBottom w:val="0"/>
      <w:divBdr>
        <w:top w:val="none" w:sz="0" w:space="0" w:color="auto"/>
        <w:left w:val="none" w:sz="0" w:space="0" w:color="auto"/>
        <w:bottom w:val="none" w:sz="0" w:space="0" w:color="auto"/>
        <w:right w:val="none" w:sz="0" w:space="0" w:color="auto"/>
      </w:divBdr>
    </w:div>
    <w:div w:id="953905060">
      <w:bodyDiv w:val="1"/>
      <w:marLeft w:val="0"/>
      <w:marRight w:val="0"/>
      <w:marTop w:val="0"/>
      <w:marBottom w:val="0"/>
      <w:divBdr>
        <w:top w:val="none" w:sz="0" w:space="0" w:color="auto"/>
        <w:left w:val="none" w:sz="0" w:space="0" w:color="auto"/>
        <w:bottom w:val="none" w:sz="0" w:space="0" w:color="auto"/>
        <w:right w:val="none" w:sz="0" w:space="0" w:color="auto"/>
      </w:divBdr>
    </w:div>
    <w:div w:id="1046179522">
      <w:bodyDiv w:val="1"/>
      <w:marLeft w:val="0"/>
      <w:marRight w:val="0"/>
      <w:marTop w:val="0"/>
      <w:marBottom w:val="0"/>
      <w:divBdr>
        <w:top w:val="none" w:sz="0" w:space="0" w:color="auto"/>
        <w:left w:val="none" w:sz="0" w:space="0" w:color="auto"/>
        <w:bottom w:val="none" w:sz="0" w:space="0" w:color="auto"/>
        <w:right w:val="none" w:sz="0" w:space="0" w:color="auto"/>
      </w:divBdr>
    </w:div>
    <w:div w:id="1058627063">
      <w:bodyDiv w:val="1"/>
      <w:marLeft w:val="0"/>
      <w:marRight w:val="0"/>
      <w:marTop w:val="0"/>
      <w:marBottom w:val="0"/>
      <w:divBdr>
        <w:top w:val="none" w:sz="0" w:space="0" w:color="auto"/>
        <w:left w:val="none" w:sz="0" w:space="0" w:color="auto"/>
        <w:bottom w:val="none" w:sz="0" w:space="0" w:color="auto"/>
        <w:right w:val="none" w:sz="0" w:space="0" w:color="auto"/>
      </w:divBdr>
    </w:div>
    <w:div w:id="1089888312">
      <w:bodyDiv w:val="1"/>
      <w:marLeft w:val="0"/>
      <w:marRight w:val="0"/>
      <w:marTop w:val="0"/>
      <w:marBottom w:val="0"/>
      <w:divBdr>
        <w:top w:val="none" w:sz="0" w:space="0" w:color="auto"/>
        <w:left w:val="none" w:sz="0" w:space="0" w:color="auto"/>
        <w:bottom w:val="none" w:sz="0" w:space="0" w:color="auto"/>
        <w:right w:val="none" w:sz="0" w:space="0" w:color="auto"/>
      </w:divBdr>
    </w:div>
    <w:div w:id="1095051673">
      <w:bodyDiv w:val="1"/>
      <w:marLeft w:val="0"/>
      <w:marRight w:val="0"/>
      <w:marTop w:val="0"/>
      <w:marBottom w:val="0"/>
      <w:divBdr>
        <w:top w:val="none" w:sz="0" w:space="0" w:color="auto"/>
        <w:left w:val="none" w:sz="0" w:space="0" w:color="auto"/>
        <w:bottom w:val="none" w:sz="0" w:space="0" w:color="auto"/>
        <w:right w:val="none" w:sz="0" w:space="0" w:color="auto"/>
      </w:divBdr>
    </w:div>
    <w:div w:id="1160384534">
      <w:bodyDiv w:val="1"/>
      <w:marLeft w:val="0"/>
      <w:marRight w:val="0"/>
      <w:marTop w:val="0"/>
      <w:marBottom w:val="0"/>
      <w:divBdr>
        <w:top w:val="none" w:sz="0" w:space="0" w:color="auto"/>
        <w:left w:val="none" w:sz="0" w:space="0" w:color="auto"/>
        <w:bottom w:val="none" w:sz="0" w:space="0" w:color="auto"/>
        <w:right w:val="none" w:sz="0" w:space="0" w:color="auto"/>
      </w:divBdr>
    </w:div>
    <w:div w:id="1164010152">
      <w:bodyDiv w:val="1"/>
      <w:marLeft w:val="0"/>
      <w:marRight w:val="0"/>
      <w:marTop w:val="0"/>
      <w:marBottom w:val="0"/>
      <w:divBdr>
        <w:top w:val="none" w:sz="0" w:space="0" w:color="auto"/>
        <w:left w:val="none" w:sz="0" w:space="0" w:color="auto"/>
        <w:bottom w:val="none" w:sz="0" w:space="0" w:color="auto"/>
        <w:right w:val="none" w:sz="0" w:space="0" w:color="auto"/>
      </w:divBdr>
    </w:div>
    <w:div w:id="1291059726">
      <w:bodyDiv w:val="1"/>
      <w:marLeft w:val="0"/>
      <w:marRight w:val="0"/>
      <w:marTop w:val="0"/>
      <w:marBottom w:val="0"/>
      <w:divBdr>
        <w:top w:val="none" w:sz="0" w:space="0" w:color="auto"/>
        <w:left w:val="none" w:sz="0" w:space="0" w:color="auto"/>
        <w:bottom w:val="none" w:sz="0" w:space="0" w:color="auto"/>
        <w:right w:val="none" w:sz="0" w:space="0" w:color="auto"/>
      </w:divBdr>
    </w:div>
    <w:div w:id="1333602617">
      <w:bodyDiv w:val="1"/>
      <w:marLeft w:val="0"/>
      <w:marRight w:val="0"/>
      <w:marTop w:val="0"/>
      <w:marBottom w:val="0"/>
      <w:divBdr>
        <w:top w:val="none" w:sz="0" w:space="0" w:color="auto"/>
        <w:left w:val="none" w:sz="0" w:space="0" w:color="auto"/>
        <w:bottom w:val="none" w:sz="0" w:space="0" w:color="auto"/>
        <w:right w:val="none" w:sz="0" w:space="0" w:color="auto"/>
      </w:divBdr>
    </w:div>
    <w:div w:id="1351028291">
      <w:bodyDiv w:val="1"/>
      <w:marLeft w:val="0"/>
      <w:marRight w:val="0"/>
      <w:marTop w:val="0"/>
      <w:marBottom w:val="0"/>
      <w:divBdr>
        <w:top w:val="none" w:sz="0" w:space="0" w:color="auto"/>
        <w:left w:val="none" w:sz="0" w:space="0" w:color="auto"/>
        <w:bottom w:val="none" w:sz="0" w:space="0" w:color="auto"/>
        <w:right w:val="none" w:sz="0" w:space="0" w:color="auto"/>
      </w:divBdr>
    </w:div>
    <w:div w:id="1396858867">
      <w:bodyDiv w:val="1"/>
      <w:marLeft w:val="0"/>
      <w:marRight w:val="0"/>
      <w:marTop w:val="0"/>
      <w:marBottom w:val="0"/>
      <w:divBdr>
        <w:top w:val="none" w:sz="0" w:space="0" w:color="auto"/>
        <w:left w:val="none" w:sz="0" w:space="0" w:color="auto"/>
        <w:bottom w:val="none" w:sz="0" w:space="0" w:color="auto"/>
        <w:right w:val="none" w:sz="0" w:space="0" w:color="auto"/>
      </w:divBdr>
    </w:div>
    <w:div w:id="1431391883">
      <w:bodyDiv w:val="1"/>
      <w:marLeft w:val="0"/>
      <w:marRight w:val="0"/>
      <w:marTop w:val="0"/>
      <w:marBottom w:val="0"/>
      <w:divBdr>
        <w:top w:val="none" w:sz="0" w:space="0" w:color="auto"/>
        <w:left w:val="none" w:sz="0" w:space="0" w:color="auto"/>
        <w:bottom w:val="none" w:sz="0" w:space="0" w:color="auto"/>
        <w:right w:val="none" w:sz="0" w:space="0" w:color="auto"/>
      </w:divBdr>
    </w:div>
    <w:div w:id="1485776020">
      <w:bodyDiv w:val="1"/>
      <w:marLeft w:val="0"/>
      <w:marRight w:val="0"/>
      <w:marTop w:val="0"/>
      <w:marBottom w:val="0"/>
      <w:divBdr>
        <w:top w:val="none" w:sz="0" w:space="0" w:color="auto"/>
        <w:left w:val="none" w:sz="0" w:space="0" w:color="auto"/>
        <w:bottom w:val="none" w:sz="0" w:space="0" w:color="auto"/>
        <w:right w:val="none" w:sz="0" w:space="0" w:color="auto"/>
      </w:divBdr>
    </w:div>
    <w:div w:id="1542327764">
      <w:bodyDiv w:val="1"/>
      <w:marLeft w:val="0"/>
      <w:marRight w:val="0"/>
      <w:marTop w:val="0"/>
      <w:marBottom w:val="0"/>
      <w:divBdr>
        <w:top w:val="none" w:sz="0" w:space="0" w:color="auto"/>
        <w:left w:val="none" w:sz="0" w:space="0" w:color="auto"/>
        <w:bottom w:val="none" w:sz="0" w:space="0" w:color="auto"/>
        <w:right w:val="none" w:sz="0" w:space="0" w:color="auto"/>
      </w:divBdr>
    </w:div>
    <w:div w:id="1620796344">
      <w:bodyDiv w:val="1"/>
      <w:marLeft w:val="0"/>
      <w:marRight w:val="0"/>
      <w:marTop w:val="0"/>
      <w:marBottom w:val="0"/>
      <w:divBdr>
        <w:top w:val="none" w:sz="0" w:space="0" w:color="auto"/>
        <w:left w:val="none" w:sz="0" w:space="0" w:color="auto"/>
        <w:bottom w:val="none" w:sz="0" w:space="0" w:color="auto"/>
        <w:right w:val="none" w:sz="0" w:space="0" w:color="auto"/>
      </w:divBdr>
    </w:div>
    <w:div w:id="1629318376">
      <w:bodyDiv w:val="1"/>
      <w:marLeft w:val="0"/>
      <w:marRight w:val="0"/>
      <w:marTop w:val="0"/>
      <w:marBottom w:val="0"/>
      <w:divBdr>
        <w:top w:val="none" w:sz="0" w:space="0" w:color="auto"/>
        <w:left w:val="none" w:sz="0" w:space="0" w:color="auto"/>
        <w:bottom w:val="none" w:sz="0" w:space="0" w:color="auto"/>
        <w:right w:val="none" w:sz="0" w:space="0" w:color="auto"/>
      </w:divBdr>
    </w:div>
    <w:div w:id="1638291230">
      <w:bodyDiv w:val="1"/>
      <w:marLeft w:val="0"/>
      <w:marRight w:val="0"/>
      <w:marTop w:val="0"/>
      <w:marBottom w:val="0"/>
      <w:divBdr>
        <w:top w:val="none" w:sz="0" w:space="0" w:color="auto"/>
        <w:left w:val="none" w:sz="0" w:space="0" w:color="auto"/>
        <w:bottom w:val="none" w:sz="0" w:space="0" w:color="auto"/>
        <w:right w:val="none" w:sz="0" w:space="0" w:color="auto"/>
      </w:divBdr>
    </w:div>
    <w:div w:id="1651902575">
      <w:bodyDiv w:val="1"/>
      <w:marLeft w:val="0"/>
      <w:marRight w:val="0"/>
      <w:marTop w:val="0"/>
      <w:marBottom w:val="0"/>
      <w:divBdr>
        <w:top w:val="none" w:sz="0" w:space="0" w:color="auto"/>
        <w:left w:val="none" w:sz="0" w:space="0" w:color="auto"/>
        <w:bottom w:val="none" w:sz="0" w:space="0" w:color="auto"/>
        <w:right w:val="none" w:sz="0" w:space="0" w:color="auto"/>
      </w:divBdr>
    </w:div>
    <w:div w:id="1746679275">
      <w:bodyDiv w:val="1"/>
      <w:marLeft w:val="0"/>
      <w:marRight w:val="0"/>
      <w:marTop w:val="0"/>
      <w:marBottom w:val="0"/>
      <w:divBdr>
        <w:top w:val="none" w:sz="0" w:space="0" w:color="auto"/>
        <w:left w:val="none" w:sz="0" w:space="0" w:color="auto"/>
        <w:bottom w:val="none" w:sz="0" w:space="0" w:color="auto"/>
        <w:right w:val="none" w:sz="0" w:space="0" w:color="auto"/>
      </w:divBdr>
    </w:div>
    <w:div w:id="1810318958">
      <w:bodyDiv w:val="1"/>
      <w:marLeft w:val="0"/>
      <w:marRight w:val="0"/>
      <w:marTop w:val="0"/>
      <w:marBottom w:val="0"/>
      <w:divBdr>
        <w:top w:val="none" w:sz="0" w:space="0" w:color="auto"/>
        <w:left w:val="none" w:sz="0" w:space="0" w:color="auto"/>
        <w:bottom w:val="none" w:sz="0" w:space="0" w:color="auto"/>
        <w:right w:val="none" w:sz="0" w:space="0" w:color="auto"/>
      </w:divBdr>
    </w:div>
    <w:div w:id="1886327666">
      <w:bodyDiv w:val="1"/>
      <w:marLeft w:val="0"/>
      <w:marRight w:val="0"/>
      <w:marTop w:val="0"/>
      <w:marBottom w:val="0"/>
      <w:divBdr>
        <w:top w:val="none" w:sz="0" w:space="0" w:color="auto"/>
        <w:left w:val="none" w:sz="0" w:space="0" w:color="auto"/>
        <w:bottom w:val="none" w:sz="0" w:space="0" w:color="auto"/>
        <w:right w:val="none" w:sz="0" w:space="0" w:color="auto"/>
      </w:divBdr>
    </w:div>
    <w:div w:id="1956520646">
      <w:bodyDiv w:val="1"/>
      <w:marLeft w:val="0"/>
      <w:marRight w:val="0"/>
      <w:marTop w:val="0"/>
      <w:marBottom w:val="0"/>
      <w:divBdr>
        <w:top w:val="none" w:sz="0" w:space="0" w:color="auto"/>
        <w:left w:val="none" w:sz="0" w:space="0" w:color="auto"/>
        <w:bottom w:val="none" w:sz="0" w:space="0" w:color="auto"/>
        <w:right w:val="none" w:sz="0" w:space="0" w:color="auto"/>
      </w:divBdr>
    </w:div>
    <w:div w:id="2084910331">
      <w:bodyDiv w:val="1"/>
      <w:marLeft w:val="0"/>
      <w:marRight w:val="0"/>
      <w:marTop w:val="0"/>
      <w:marBottom w:val="0"/>
      <w:divBdr>
        <w:top w:val="none" w:sz="0" w:space="0" w:color="auto"/>
        <w:left w:val="none" w:sz="0" w:space="0" w:color="auto"/>
        <w:bottom w:val="none" w:sz="0" w:space="0" w:color="auto"/>
        <w:right w:val="none" w:sz="0" w:space="0" w:color="auto"/>
      </w:divBdr>
    </w:div>
    <w:div w:id="2086998150">
      <w:bodyDiv w:val="1"/>
      <w:marLeft w:val="0"/>
      <w:marRight w:val="0"/>
      <w:marTop w:val="0"/>
      <w:marBottom w:val="0"/>
      <w:divBdr>
        <w:top w:val="none" w:sz="0" w:space="0" w:color="auto"/>
        <w:left w:val="none" w:sz="0" w:space="0" w:color="auto"/>
        <w:bottom w:val="none" w:sz="0" w:space="0" w:color="auto"/>
        <w:right w:val="none" w:sz="0" w:space="0" w:color="auto"/>
      </w:divBdr>
    </w:div>
    <w:div w:id="2098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5EAF3650144E43924FE4D7101FBFCF"/>
        <w:category>
          <w:name w:val="General"/>
          <w:gallery w:val="placeholder"/>
        </w:category>
        <w:types>
          <w:type w:val="bbPlcHdr"/>
        </w:types>
        <w:behaviors>
          <w:behavior w:val="content"/>
        </w:behaviors>
        <w:guid w:val="{C441DCA4-0567-F749-AF1C-F447D333C748}"/>
      </w:docPartPr>
      <w:docPartBody>
        <w:p w:rsidR="005C1F67" w:rsidRDefault="005C1F67">
          <w:pPr>
            <w:pStyle w:val="8C5EAF3650144E43924FE4D7101FBFCF"/>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ED7D31"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F67"/>
    <w:rsid w:val="00016702"/>
    <w:rsid w:val="0002373B"/>
    <w:rsid w:val="000326E5"/>
    <w:rsid w:val="000737D2"/>
    <w:rsid w:val="00100880"/>
    <w:rsid w:val="0014610D"/>
    <w:rsid w:val="00185ADC"/>
    <w:rsid w:val="001B57C0"/>
    <w:rsid w:val="00205777"/>
    <w:rsid w:val="002953C3"/>
    <w:rsid w:val="002B744E"/>
    <w:rsid w:val="00331055"/>
    <w:rsid w:val="00482232"/>
    <w:rsid w:val="005C1F67"/>
    <w:rsid w:val="00622465"/>
    <w:rsid w:val="0067327E"/>
    <w:rsid w:val="006827F7"/>
    <w:rsid w:val="00747AC3"/>
    <w:rsid w:val="007B67ED"/>
    <w:rsid w:val="007C5F0A"/>
    <w:rsid w:val="00846448"/>
    <w:rsid w:val="008465B6"/>
    <w:rsid w:val="0085396B"/>
    <w:rsid w:val="00865D05"/>
    <w:rsid w:val="00881EB3"/>
    <w:rsid w:val="00962596"/>
    <w:rsid w:val="00A077EA"/>
    <w:rsid w:val="00AA5BAF"/>
    <w:rsid w:val="00C45D3F"/>
    <w:rsid w:val="00D04CD7"/>
    <w:rsid w:val="00D678D9"/>
    <w:rsid w:val="00D814CE"/>
    <w:rsid w:val="00F14185"/>
    <w:rsid w:val="00F525B9"/>
    <w:rsid w:val="00F61518"/>
    <w:rsid w:val="00F747C9"/>
    <w:rsid w:val="00F87259"/>
    <w:rsid w:val="00FB0119"/>
    <w:rsid w:val="00FB0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78D9"/>
    <w:pPr>
      <w:spacing w:after="200"/>
    </w:pPr>
    <w:rPr>
      <w:rFonts w:eastAsiaTheme="minorHAnsi"/>
      <w:sz w:val="20"/>
      <w:szCs w:val="22"/>
      <w:lang w:eastAsia="en-US"/>
    </w:rPr>
  </w:style>
  <w:style w:type="character" w:customStyle="1" w:styleId="BodyTextChar">
    <w:name w:val="Body Text Char"/>
    <w:basedOn w:val="DefaultParagraphFont"/>
    <w:link w:val="BodyText"/>
    <w:rsid w:val="00D678D9"/>
    <w:rPr>
      <w:rFonts w:eastAsiaTheme="minorHAnsi"/>
      <w:sz w:val="20"/>
      <w:szCs w:val="22"/>
      <w:lang w:eastAsia="en-US"/>
    </w:rPr>
  </w:style>
  <w:style w:type="paragraph" w:customStyle="1" w:styleId="8C5EAF3650144E43924FE4D7101FBFCF">
    <w:name w:val="8C5EAF3650144E43924FE4D7101FBFCF"/>
  </w:style>
  <w:style w:type="paragraph" w:customStyle="1" w:styleId="836FA4CEE3AC7A46994DF5100E09EAE4">
    <w:name w:val="836FA4CEE3AC7A46994DF5100E09EAE4"/>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78853C890ED102489A6A99BAD2CCDC45">
    <w:name w:val="78853C890ED102489A6A99BAD2CCDC45"/>
  </w:style>
  <w:style w:type="paragraph" w:customStyle="1" w:styleId="FD11DB19B7F5C546AFDEAACF1AB3F8CA">
    <w:name w:val="FD11DB19B7F5C546AFDEAACF1AB3F8CA"/>
  </w:style>
  <w:style w:type="paragraph" w:customStyle="1" w:styleId="60C539AFC3B41A458A623E7BC399DF7B">
    <w:name w:val="60C539AFC3B41A458A623E7BC399DF7B"/>
  </w:style>
  <w:style w:type="paragraph" w:customStyle="1" w:styleId="DD048D53F28F39498F4B0C4FED83D16A">
    <w:name w:val="DD048D53F28F39498F4B0C4FED83D16A"/>
  </w:style>
  <w:style w:type="paragraph" w:customStyle="1" w:styleId="A64619060FCED04CA1B3C1EAAD009243">
    <w:name w:val="A64619060FCED04CA1B3C1EAAD009243"/>
  </w:style>
  <w:style w:type="paragraph" w:customStyle="1" w:styleId="7D2B795B7C9FF248B8AB18C47AAA4675">
    <w:name w:val="7D2B795B7C9FF248B8AB18C47AAA4675"/>
  </w:style>
  <w:style w:type="paragraph" w:customStyle="1" w:styleId="080D18787E1E544BBE2F572872C28B40">
    <w:name w:val="080D18787E1E544BBE2F572872C28B40"/>
  </w:style>
  <w:style w:type="paragraph" w:customStyle="1" w:styleId="EB4BF66F38DE174A9D50549C5A781D5C">
    <w:name w:val="EB4BF66F38DE174A9D50549C5A781D5C"/>
  </w:style>
  <w:style w:type="paragraph" w:customStyle="1" w:styleId="FE380341F9B50A459E8427A1A3A5C7AA">
    <w:name w:val="FE380341F9B50A459E8427A1A3A5C7AA"/>
    <w:rsid w:val="00D678D9"/>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4953B-8C9F-A449-AF83-41084140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Macintosh%20HD:Applications:Microsoft%20Office%202011:Office:Media:Templates:Print%20Layout%20View:Resumes:Blocks%20Resume.dotx</Template>
  <TotalTime>32</TotalTime>
  <Pages>6</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Hanagriff</dc:creator>
  <cp:keywords/>
  <dc:description/>
  <cp:lastModifiedBy>Roger Hanagriff</cp:lastModifiedBy>
  <cp:revision>3</cp:revision>
  <cp:lastPrinted>2018-07-10T21:52:00Z</cp:lastPrinted>
  <dcterms:created xsi:type="dcterms:W3CDTF">2020-09-07T17:37:00Z</dcterms:created>
  <dcterms:modified xsi:type="dcterms:W3CDTF">2020-09-07T18:27:00Z</dcterms:modified>
  <cp:category/>
</cp:coreProperties>
</file>